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33" w:rsidRPr="002B7533" w:rsidRDefault="002B7533" w:rsidP="002B7533">
      <w:pPr>
        <w:widowControl/>
        <w:shd w:val="clear" w:color="auto" w:fill="FFFFFF"/>
        <w:spacing w:after="240" w:line="560" w:lineRule="atLeas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40"/>
        </w:rPr>
        <w:t>国务院安委会办公室关于近期几起火灾事故的通报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jc w:val="center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安委办〔2017〕34号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各省、自治区、直辖市及新疆生产建设兵团安全生产委员会：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今年以来，重大火灾事故时有发生，上半年发生了浙江台州“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2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·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5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”和江西南昌“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2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·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25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”两起重大火灾事故。进入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11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月份以来，北京市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大兴区</w:t>
      </w:r>
      <w:proofErr w:type="gramEnd"/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11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18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日发生一起重大火灾事故，造成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19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人死亡；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12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日，天津市河西区又发生一起重大火灾事故，目前已造成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10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人死亡；此外，广东佛山、山东东营、贵州贞丰等地的仓储、食品加工、商品批发场所先后发生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3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起较大火灾事故。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国务院领导同志对此高度重视并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作出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重要批示，要求举一反三，排查生产经营、储存、居住等“三合一”“多合一”场所，强化消防安全责任落实，坚决防止类似事故发生。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为深刻吸取事故教训，举一反三，切实加强消防安全工作，有效防范和坚决遏制重特大事故发生，现提出如下要求：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一、深入开展“三合一”“多合一”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场所及群租房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火灾隐患整治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各地区要结合当地实际情况，以中小劳动密集型企业、城中村、城乡结合部、工业发达地区的乡镇、大型批发市场等单位、区域为重点，强化集生产、经营、储存和住宿为一体的“三合一”“多合一”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建筑及群租房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火灾隐患的排查，摸清场所数量、建筑状况及安全管理等情况，登记造册，建立台账。对排查发现的安全隐患要及时督促整改，并严格落实“五个一律”要求：一是住宿与生产、经营、储存场所合用，未按规定进行防火分隔的，一律依法查处；二是疏散设施设置不符合要求、安全出口数量不足的，一律依法整改；三是住宿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10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人以上的，一律加装独立式火灾报警探测器，实行专职管理员夜间巡查措施；四是住宿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30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以上的，一律按照标准安装自动灭火、火灾报警等消防设施，明确专人负责消防管理；五是楼内、屋内电动车违规停放或充电的，一律依法清理。对危及安全拒不整改的，要依法严厉追究生产经营单位、房屋产权单位及其相关负责人的责任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二、切实做好冬春季节火灾防控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各地区要针对人员密集、易燃易爆、老旧住宅、少数民族村寨等高风险场所和文物古建筑等不放心区域场所，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结合实际开展排查，科学评估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研判安全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风险，落实人防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物防技防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措施，实行账单管理，防止失控漏管。要突出圣诞、元旦、春节、元宵节等节假日和全国“两会”期间等重要时段，加强监督检查，督促社会单位认真履行主体责任，强化消防安全管理、自查自改火灾隐患，严防火灾事故发生。要因地制宜，继续按照国务院安委会以及公安部等部门的部署要求，深入推进电气火灾综合治理和高层建筑消防安全综合治理工作。对排查发现的重大隐患和区域性的隐患，要实行政府挂牌督办，限期整改到位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三、深化消防安全网格化管理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各地区要发挥综治网格平台作用，推动街道乡镇、村庄社区深化消防安全网格化管理，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织密火灾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防控最小单元，落实常态化消防安全检查、经常性消防宣传教育、基层力量初期火灾扑救等工作。要深入开展消防安全社区创建达标验收工作，推动社区居民住宅确定消防楼院长，加强业务培训，消防楼院长应熟悉楼院情况，并具有一定组织巡查、宣传和灭火疏散演练的能力。要推动消防安全重点单位和社区按照标准建立微型消防站，配齐配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全人员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和器材装备。针对出租屋、群租房和“三合一”场所火灾多发生在夜间的特点，街道办事处、乡镇政府要组织治安联防队、保安巡逻队以及单位、社区微型消防站等力量，建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立防火巡查制度，组织开展夜间防火巡查。要加强微型消防站和各类防火巡查队伍的消防培训和业务训练，使其具备初期火灾扑救及组织疏散能力，确保一旦发生火灾，能够快速到场处置，做到灭早、灭小、灭初期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四、全力提高全民消防安全意识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地区要高度重视消防安全宣传教育工作，突出宣传教育先导作用，充分发挥消防科普基地作用，定期组织社会公众到消防队站、防灾教育馆、消防博物馆等科普教育基地参观体验。督促社会单位积极采取措施，加强对从业人员的消防安全培训教育，提高从业人员检查消除火灾隐患、扑救初期火灾、组织疏散逃生和宣传教育等四个能力。充分利用广播、板报、宣传手册、主流媒体、门户网站和户外媒体等宣传阵地高频次播出消防公益广告，广泛宣传消防安全法规、常识，大力普及安全用火、用电、用气、用油、燃放烟花和逃生自救等防火应急知识，集中曝光典型事故，提高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公众消防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安全意识和自防自救能力。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righ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国务院安委会办公室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righ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2017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12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4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:rsidR="001D2F13" w:rsidRPr="002B7533" w:rsidRDefault="001D2F13">
      <w:bookmarkStart w:id="0" w:name="_GoBack"/>
      <w:bookmarkEnd w:id="0"/>
    </w:p>
    <w:sectPr w:rsidR="001D2F13" w:rsidRPr="002B7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33"/>
    <w:rsid w:val="001D2F13"/>
    <w:rsid w:val="002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F5727-79EF-4852-AF15-CFCDAA8B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1496</Characters>
  <Application>Microsoft Office Word</Application>
  <DocSecurity>0</DocSecurity>
  <Lines>12</Lines>
  <Paragraphs>3</Paragraphs>
  <ScaleCrop>false</ScaleCrop>
  <Company>MS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2020-09-11T07:36:00Z</dcterms:created>
  <dcterms:modified xsi:type="dcterms:W3CDTF">2020-09-11T07:37:00Z</dcterms:modified>
</cp:coreProperties>
</file>