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5A4" w:rsidRDefault="00FD25A4" w:rsidP="00FD25A4">
      <w:pPr>
        <w:spacing w:line="600" w:lineRule="exact"/>
        <w:jc w:val="left"/>
        <w:outlineLvl w:val="0"/>
        <w:rPr>
          <w:rFonts w:ascii="黑体" w:eastAsia="黑体" w:hAnsi="黑体" w:hint="eastAsia"/>
          <w:szCs w:val="32"/>
        </w:rPr>
      </w:pPr>
      <w:r>
        <w:rPr>
          <w:rFonts w:ascii="黑体" w:eastAsia="黑体" w:hAnsi="黑体" w:hint="eastAsia"/>
          <w:szCs w:val="32"/>
        </w:rPr>
        <w:t>附件2</w:t>
      </w:r>
    </w:p>
    <w:p w:rsidR="00FD25A4" w:rsidRDefault="00FD25A4" w:rsidP="00FD25A4">
      <w:pPr>
        <w:spacing w:line="600" w:lineRule="exact"/>
        <w:jc w:val="center"/>
        <w:outlineLvl w:val="0"/>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《煤矿安全生产专项整治和雨季“三防”专项检查》排查表</w:t>
      </w:r>
    </w:p>
    <w:p w:rsidR="00FD25A4" w:rsidRDefault="00FD25A4" w:rsidP="00FD25A4">
      <w:pPr>
        <w:pStyle w:val="a4"/>
        <w:spacing w:line="240" w:lineRule="exact"/>
        <w:rPr>
          <w:rFonts w:ascii="华文中宋" w:eastAsia="华文中宋" w:hAnsi="华文中宋" w:hint="eastAsia"/>
          <w:b/>
          <w:sz w:val="44"/>
          <w:szCs w:val="44"/>
        </w:rPr>
      </w:pPr>
    </w:p>
    <w:p w:rsidR="00FD25A4" w:rsidRDefault="00FD25A4" w:rsidP="00FD25A4">
      <w:pPr>
        <w:spacing w:line="280" w:lineRule="exact"/>
        <w:ind w:firstLineChars="200" w:firstLine="480"/>
        <w:rPr>
          <w:rFonts w:ascii="仿宋_GB2312" w:hAnsi="Times New Roman"/>
          <w:sz w:val="24"/>
        </w:rPr>
      </w:pPr>
      <w:r>
        <w:rPr>
          <w:rFonts w:ascii="仿宋_GB2312" w:hAnsi="Times New Roman" w:hint="eastAsia"/>
          <w:sz w:val="24"/>
        </w:rPr>
        <w:t>煤矿企业名称：</w:t>
      </w:r>
      <w:r>
        <w:rPr>
          <w:rFonts w:ascii="仿宋_GB2312" w:hAnsi="Times New Roman" w:hint="eastAsia"/>
          <w:sz w:val="24"/>
        </w:rPr>
        <w:t xml:space="preserve">                                                                       </w:t>
      </w:r>
      <w:r>
        <w:rPr>
          <w:rFonts w:ascii="仿宋_GB2312" w:hAnsi="Times New Roman" w:hint="eastAsia"/>
          <w:sz w:val="24"/>
        </w:rPr>
        <w:t>检查日期：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
        <w:gridCol w:w="5236"/>
        <w:gridCol w:w="2918"/>
        <w:gridCol w:w="1412"/>
        <w:gridCol w:w="1455"/>
        <w:gridCol w:w="2240"/>
      </w:tblGrid>
      <w:tr w:rsidR="00FD25A4" w:rsidTr="00397E8C">
        <w:trPr>
          <w:trHeight w:val="850"/>
          <w:tblHeader/>
          <w:jc w:val="center"/>
        </w:trPr>
        <w:tc>
          <w:tcPr>
            <w:tcW w:w="481" w:type="dxa"/>
            <w:vAlign w:val="center"/>
          </w:tcPr>
          <w:p w:rsidR="00FD25A4" w:rsidRDefault="00FD25A4" w:rsidP="00397E8C">
            <w:pPr>
              <w:spacing w:line="300" w:lineRule="exact"/>
              <w:jc w:val="center"/>
              <w:rPr>
                <w:rFonts w:ascii="黑体" w:eastAsia="黑体" w:hAnsi="黑体" w:hint="eastAsia"/>
                <w:sz w:val="24"/>
              </w:rPr>
            </w:pPr>
            <w:r>
              <w:rPr>
                <w:rFonts w:ascii="黑体" w:eastAsia="黑体" w:hAnsi="黑体" w:hint="eastAsia"/>
                <w:sz w:val="24"/>
              </w:rPr>
              <w:t>序号</w:t>
            </w:r>
          </w:p>
        </w:tc>
        <w:tc>
          <w:tcPr>
            <w:tcW w:w="5236" w:type="dxa"/>
            <w:vAlign w:val="center"/>
          </w:tcPr>
          <w:p w:rsidR="00FD25A4" w:rsidRDefault="00FD25A4" w:rsidP="00397E8C">
            <w:pPr>
              <w:spacing w:line="300" w:lineRule="exact"/>
              <w:jc w:val="center"/>
              <w:rPr>
                <w:rFonts w:ascii="黑体" w:eastAsia="黑体" w:hAnsi="黑体" w:hint="eastAsia"/>
                <w:sz w:val="24"/>
              </w:rPr>
            </w:pPr>
            <w:r>
              <w:rPr>
                <w:rFonts w:ascii="黑体" w:eastAsia="黑体" w:hAnsi="黑体" w:hint="eastAsia"/>
                <w:sz w:val="24"/>
              </w:rPr>
              <w:t>检查内容</w:t>
            </w:r>
          </w:p>
        </w:tc>
        <w:tc>
          <w:tcPr>
            <w:tcW w:w="2918" w:type="dxa"/>
            <w:vAlign w:val="center"/>
          </w:tcPr>
          <w:p w:rsidR="00FD25A4" w:rsidRDefault="00FD25A4" w:rsidP="00397E8C">
            <w:pPr>
              <w:spacing w:line="300" w:lineRule="exact"/>
              <w:jc w:val="center"/>
              <w:rPr>
                <w:rFonts w:ascii="黑体" w:eastAsia="黑体" w:hAnsi="黑体" w:hint="eastAsia"/>
                <w:sz w:val="24"/>
              </w:rPr>
            </w:pPr>
            <w:r>
              <w:rPr>
                <w:rFonts w:ascii="黑体" w:eastAsia="黑体" w:hAnsi="黑体" w:hint="eastAsia"/>
                <w:sz w:val="24"/>
              </w:rPr>
              <w:t>存在问题</w:t>
            </w:r>
          </w:p>
        </w:tc>
        <w:tc>
          <w:tcPr>
            <w:tcW w:w="1412" w:type="dxa"/>
            <w:vAlign w:val="center"/>
          </w:tcPr>
          <w:p w:rsidR="00FD25A4" w:rsidRDefault="00FD25A4" w:rsidP="00397E8C">
            <w:pPr>
              <w:spacing w:line="300" w:lineRule="exact"/>
              <w:jc w:val="center"/>
              <w:rPr>
                <w:rFonts w:ascii="黑体" w:eastAsia="黑体" w:hAnsi="黑体" w:hint="eastAsia"/>
                <w:sz w:val="24"/>
              </w:rPr>
            </w:pPr>
            <w:r>
              <w:rPr>
                <w:rFonts w:ascii="黑体" w:eastAsia="黑体" w:hAnsi="黑体" w:hint="eastAsia"/>
                <w:sz w:val="24"/>
              </w:rPr>
              <w:t>检查人</w:t>
            </w:r>
          </w:p>
        </w:tc>
        <w:tc>
          <w:tcPr>
            <w:tcW w:w="1455" w:type="dxa"/>
            <w:vAlign w:val="center"/>
          </w:tcPr>
          <w:p w:rsidR="00FD25A4" w:rsidRDefault="00FD25A4" w:rsidP="00397E8C">
            <w:pPr>
              <w:spacing w:line="300" w:lineRule="exact"/>
              <w:jc w:val="center"/>
              <w:rPr>
                <w:rFonts w:ascii="黑体" w:eastAsia="黑体" w:hAnsi="黑体" w:hint="eastAsia"/>
                <w:sz w:val="24"/>
              </w:rPr>
            </w:pPr>
            <w:r>
              <w:rPr>
                <w:rFonts w:ascii="黑体" w:eastAsia="黑体" w:hAnsi="黑体" w:hint="eastAsia"/>
                <w:sz w:val="24"/>
              </w:rPr>
              <w:t>整改时限</w:t>
            </w:r>
          </w:p>
        </w:tc>
        <w:tc>
          <w:tcPr>
            <w:tcW w:w="2240" w:type="dxa"/>
            <w:vAlign w:val="center"/>
          </w:tcPr>
          <w:p w:rsidR="00FD25A4" w:rsidRDefault="00FD25A4" w:rsidP="00397E8C">
            <w:pPr>
              <w:spacing w:line="300" w:lineRule="exact"/>
              <w:jc w:val="center"/>
              <w:rPr>
                <w:rFonts w:ascii="黑体" w:eastAsia="黑体" w:hAnsi="黑体" w:hint="eastAsia"/>
                <w:sz w:val="24"/>
              </w:rPr>
            </w:pPr>
            <w:r>
              <w:rPr>
                <w:rFonts w:ascii="黑体" w:eastAsia="黑体" w:hAnsi="黑体" w:hint="eastAsia"/>
                <w:sz w:val="24"/>
              </w:rPr>
              <w:t>整改要求</w:t>
            </w:r>
          </w:p>
        </w:tc>
      </w:tr>
      <w:tr w:rsidR="00FD25A4" w:rsidTr="00397E8C">
        <w:trPr>
          <w:trHeight w:val="948"/>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1</w:t>
            </w:r>
          </w:p>
        </w:tc>
        <w:tc>
          <w:tcPr>
            <w:tcW w:w="5236" w:type="dxa"/>
            <w:vAlign w:val="center"/>
          </w:tcPr>
          <w:p w:rsidR="00FD25A4" w:rsidRDefault="00FD25A4" w:rsidP="00397E8C">
            <w:pPr>
              <w:spacing w:line="280" w:lineRule="exact"/>
              <w:rPr>
                <w:rFonts w:ascii="仿宋" w:hAnsi="仿宋" w:cs="仿宋" w:hint="eastAsia"/>
                <w:sz w:val="24"/>
              </w:rPr>
            </w:pPr>
            <w:r>
              <w:rPr>
                <w:rFonts w:ascii="仿宋" w:hAnsi="仿宋" w:cs="仿宋" w:hint="eastAsia"/>
                <w:sz w:val="24"/>
              </w:rPr>
              <w:t>煤矿全年原煤产量是否超过核定（设计）生产能力10%以上，或者</w:t>
            </w:r>
            <w:r w:rsidRPr="00A63F38">
              <w:rPr>
                <w:rFonts w:ascii="仿宋" w:hAnsi="仿宋" w:cs="仿宋" w:hint="eastAsia"/>
                <w:color w:val="FF00FF"/>
                <w:sz w:val="24"/>
              </w:rPr>
              <w:t>月</w:t>
            </w:r>
            <w:r>
              <w:rPr>
                <w:rFonts w:ascii="仿宋" w:hAnsi="仿宋" w:cs="仿宋" w:hint="eastAsia"/>
                <w:sz w:val="24"/>
              </w:rPr>
              <w:t>原煤产量大于核定（设计）生产能力的10%。</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734"/>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2</w:t>
            </w:r>
          </w:p>
        </w:tc>
        <w:tc>
          <w:tcPr>
            <w:tcW w:w="5236" w:type="dxa"/>
            <w:vAlign w:val="center"/>
          </w:tcPr>
          <w:p w:rsidR="00FD25A4" w:rsidRDefault="00FD25A4" w:rsidP="00397E8C">
            <w:pPr>
              <w:spacing w:line="280" w:lineRule="exact"/>
              <w:rPr>
                <w:rFonts w:ascii="仿宋" w:hAnsi="仿宋" w:cs="仿宋" w:hint="eastAsia"/>
                <w:sz w:val="24"/>
              </w:rPr>
            </w:pPr>
            <w:r>
              <w:rPr>
                <w:rFonts w:ascii="仿宋" w:hAnsi="仿宋" w:cs="仿宋" w:hint="eastAsia"/>
                <w:sz w:val="24"/>
              </w:rPr>
              <w:t>煤矿或其上级公司是否下达超过煤矿核定（设计）生产能力的生产计划或经营指标。</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950"/>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3</w:t>
            </w:r>
          </w:p>
        </w:tc>
        <w:tc>
          <w:tcPr>
            <w:tcW w:w="5236" w:type="dxa"/>
            <w:vAlign w:val="center"/>
          </w:tcPr>
          <w:p w:rsidR="00FD25A4" w:rsidRDefault="00FD25A4" w:rsidP="00397E8C">
            <w:pPr>
              <w:spacing w:line="280" w:lineRule="exact"/>
              <w:rPr>
                <w:rFonts w:ascii="仿宋" w:hAnsi="仿宋" w:cs="仿宋" w:hint="eastAsia"/>
                <w:sz w:val="24"/>
              </w:rPr>
            </w:pPr>
            <w:r>
              <w:rPr>
                <w:rFonts w:ascii="仿宋" w:hAnsi="仿宋" w:cs="仿宋" w:hint="eastAsia"/>
                <w:sz w:val="24"/>
              </w:rPr>
              <w:t>煤矿开拓、准备、回采煤量可采期是否小于国家规定的最短时间，且未主动采取限产或者停产措施，仍然组织生产。</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924"/>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4</w:t>
            </w:r>
          </w:p>
        </w:tc>
        <w:tc>
          <w:tcPr>
            <w:tcW w:w="5236" w:type="dxa"/>
            <w:vAlign w:val="center"/>
          </w:tcPr>
          <w:p w:rsidR="00FD25A4" w:rsidRDefault="00FD25A4" w:rsidP="00397E8C">
            <w:pPr>
              <w:spacing w:line="280" w:lineRule="exact"/>
              <w:rPr>
                <w:rFonts w:ascii="仿宋" w:hAnsi="仿宋" w:cs="仿宋" w:hint="eastAsia"/>
                <w:sz w:val="24"/>
              </w:rPr>
            </w:pPr>
            <w:r>
              <w:rPr>
                <w:rFonts w:ascii="仿宋" w:hAnsi="仿宋" w:cs="仿宋" w:hint="eastAsia"/>
                <w:sz w:val="24"/>
              </w:rPr>
              <w:t>煤矿井下同时生产的水平是否超过2个，或者一个采（盘）区内同时作业的采煤、煤（半煤岩）巷掘进工作面个数超过《煤矿安全规程》规定。</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482"/>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5</w:t>
            </w:r>
          </w:p>
        </w:tc>
        <w:tc>
          <w:tcPr>
            <w:tcW w:w="5236" w:type="dxa"/>
            <w:vAlign w:val="center"/>
          </w:tcPr>
          <w:p w:rsidR="00FD25A4" w:rsidRDefault="00FD25A4" w:rsidP="00397E8C">
            <w:pPr>
              <w:spacing w:line="280" w:lineRule="exact"/>
              <w:rPr>
                <w:rFonts w:ascii="仿宋" w:hAnsi="仿宋" w:cs="仿宋" w:hint="eastAsia"/>
                <w:sz w:val="24"/>
              </w:rPr>
            </w:pPr>
            <w:r>
              <w:rPr>
                <w:rFonts w:ascii="仿宋" w:hAnsi="仿宋" w:cs="仿宋" w:hint="eastAsia"/>
                <w:sz w:val="24"/>
              </w:rPr>
              <w:t>是否存在瓦斯抽采不达标违规组织生产。</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948"/>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6</w:t>
            </w:r>
          </w:p>
        </w:tc>
        <w:tc>
          <w:tcPr>
            <w:tcW w:w="5236" w:type="dxa"/>
            <w:vAlign w:val="center"/>
          </w:tcPr>
          <w:p w:rsidR="00FD25A4" w:rsidRDefault="00FD25A4" w:rsidP="00397E8C">
            <w:pPr>
              <w:spacing w:line="280" w:lineRule="exact"/>
              <w:rPr>
                <w:rFonts w:ascii="仿宋" w:hAnsi="仿宋" w:cs="仿宋" w:hint="eastAsia"/>
                <w:sz w:val="24"/>
              </w:rPr>
            </w:pPr>
            <w:r>
              <w:rPr>
                <w:rFonts w:ascii="仿宋" w:hAnsi="仿宋" w:cs="仿宋" w:hint="eastAsia"/>
                <w:sz w:val="24"/>
              </w:rPr>
              <w:t>是否制定且严格执行井下劳动定员制度，采掘作业地点单班作业人数是否超过国家有关限员规定20%以上。</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912"/>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lastRenderedPageBreak/>
              <w:t>7</w:t>
            </w:r>
          </w:p>
        </w:tc>
        <w:tc>
          <w:tcPr>
            <w:tcW w:w="5236" w:type="dxa"/>
            <w:vAlign w:val="center"/>
          </w:tcPr>
          <w:p w:rsidR="00FD25A4" w:rsidRDefault="00FD25A4" w:rsidP="00397E8C">
            <w:pPr>
              <w:spacing w:line="280" w:lineRule="exact"/>
              <w:rPr>
                <w:rFonts w:ascii="仿宋" w:hAnsi="仿宋" w:cs="仿宋" w:hint="eastAsia"/>
                <w:sz w:val="24"/>
              </w:rPr>
            </w:pPr>
            <w:r>
              <w:rPr>
                <w:rFonts w:ascii="仿宋" w:hAnsi="仿宋" w:cs="仿宋" w:hint="eastAsia"/>
                <w:sz w:val="24"/>
              </w:rPr>
              <w:t>煤矿是否将生产经营项目、场所、设备发包或者出租给不具备安全生产条件或者相应资质的单位或者个人。</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1034"/>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8</w:t>
            </w:r>
          </w:p>
        </w:tc>
        <w:tc>
          <w:tcPr>
            <w:tcW w:w="5236" w:type="dxa"/>
            <w:vAlign w:val="center"/>
          </w:tcPr>
          <w:p w:rsidR="00FD25A4" w:rsidRDefault="00FD25A4" w:rsidP="00397E8C">
            <w:pPr>
              <w:spacing w:line="280" w:lineRule="exact"/>
              <w:rPr>
                <w:rFonts w:ascii="仿宋" w:hAnsi="仿宋" w:cs="仿宋" w:hint="eastAsia"/>
                <w:sz w:val="24"/>
              </w:rPr>
            </w:pPr>
            <w:r>
              <w:rPr>
                <w:rFonts w:ascii="仿宋" w:hAnsi="仿宋" w:cs="仿宋" w:hint="eastAsia"/>
                <w:sz w:val="24"/>
              </w:rPr>
              <w:t>是否将井下采掘作业或者井巷维修作业作为独立工程发包给其他企业或者个人，以及转包井下新水平延深开拓工程等。</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960"/>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9</w:t>
            </w:r>
          </w:p>
        </w:tc>
        <w:tc>
          <w:tcPr>
            <w:tcW w:w="5236" w:type="dxa"/>
            <w:vAlign w:val="center"/>
          </w:tcPr>
          <w:p w:rsidR="00FD25A4" w:rsidRDefault="00FD25A4" w:rsidP="00397E8C">
            <w:pPr>
              <w:spacing w:line="280" w:lineRule="exact"/>
              <w:rPr>
                <w:rFonts w:ascii="仿宋" w:hAnsi="仿宋" w:cs="仿宋" w:hint="eastAsia"/>
                <w:sz w:val="24"/>
              </w:rPr>
            </w:pPr>
            <w:r>
              <w:rPr>
                <w:rFonts w:ascii="仿宋" w:hAnsi="仿宋" w:cs="仿宋" w:hint="eastAsia"/>
                <w:sz w:val="24"/>
              </w:rPr>
              <w:t>实行整体承包的煤矿，委托方与承托方是否签订安全生产管理协议，协议是否按照国家规定明确双方安全生产管理职责。</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510"/>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10</w:t>
            </w:r>
          </w:p>
        </w:tc>
        <w:tc>
          <w:tcPr>
            <w:tcW w:w="5236" w:type="dxa"/>
            <w:vAlign w:val="center"/>
          </w:tcPr>
          <w:p w:rsidR="00FD25A4" w:rsidRDefault="00FD25A4" w:rsidP="00397E8C">
            <w:pPr>
              <w:spacing w:line="280" w:lineRule="exact"/>
              <w:rPr>
                <w:rFonts w:ascii="仿宋" w:hAnsi="仿宋" w:cs="仿宋" w:hint="eastAsia"/>
                <w:sz w:val="24"/>
              </w:rPr>
            </w:pPr>
            <w:r>
              <w:rPr>
                <w:rFonts w:ascii="仿宋" w:hAnsi="仿宋" w:cs="仿宋" w:hint="eastAsia"/>
                <w:sz w:val="24"/>
              </w:rPr>
              <w:t>是否再次将煤矿转包给其他单位或者个人。</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510"/>
          <w:jc w:val="center"/>
        </w:trPr>
        <w:tc>
          <w:tcPr>
            <w:tcW w:w="481" w:type="dxa"/>
            <w:vAlign w:val="center"/>
          </w:tcPr>
          <w:p w:rsidR="00FD25A4" w:rsidRDefault="00FD25A4" w:rsidP="00397E8C">
            <w:pPr>
              <w:spacing w:line="300" w:lineRule="exact"/>
              <w:jc w:val="center"/>
              <w:rPr>
                <w:rFonts w:ascii="仿宋" w:hAnsi="仿宋" w:cs="仿宋" w:hint="eastAsia"/>
                <w:kern w:val="0"/>
                <w:sz w:val="24"/>
              </w:rPr>
            </w:pPr>
            <w:r>
              <w:rPr>
                <w:rFonts w:ascii="仿宋" w:hAnsi="仿宋" w:cs="仿宋" w:hint="eastAsia"/>
                <w:kern w:val="0"/>
                <w:sz w:val="24"/>
              </w:rPr>
              <w:t>11</w:t>
            </w:r>
          </w:p>
        </w:tc>
        <w:tc>
          <w:tcPr>
            <w:tcW w:w="5236" w:type="dxa"/>
            <w:vAlign w:val="center"/>
          </w:tcPr>
          <w:p w:rsidR="00FD25A4" w:rsidRDefault="00FD25A4" w:rsidP="00397E8C">
            <w:pPr>
              <w:spacing w:line="280" w:lineRule="exact"/>
              <w:rPr>
                <w:rFonts w:ascii="仿宋" w:hAnsi="仿宋" w:cs="仿宋" w:hint="eastAsia"/>
                <w:kern w:val="0"/>
                <w:sz w:val="24"/>
              </w:rPr>
            </w:pPr>
            <w:r>
              <w:rPr>
                <w:rFonts w:ascii="仿宋" w:hAnsi="仿宋" w:cs="仿宋" w:hint="eastAsia"/>
                <w:kern w:val="0"/>
                <w:sz w:val="24"/>
              </w:rPr>
              <w:t>采取托管的生产矿井是否采取整体托管方式。</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1290"/>
          <w:jc w:val="center"/>
        </w:trPr>
        <w:tc>
          <w:tcPr>
            <w:tcW w:w="481" w:type="dxa"/>
            <w:vAlign w:val="center"/>
          </w:tcPr>
          <w:p w:rsidR="00FD25A4" w:rsidRDefault="00FD25A4" w:rsidP="00397E8C">
            <w:pPr>
              <w:spacing w:line="300" w:lineRule="exact"/>
              <w:jc w:val="center"/>
              <w:rPr>
                <w:rFonts w:ascii="仿宋" w:hAnsi="仿宋" w:cs="仿宋" w:hint="eastAsia"/>
                <w:kern w:val="0"/>
                <w:sz w:val="24"/>
              </w:rPr>
            </w:pPr>
            <w:r>
              <w:rPr>
                <w:rFonts w:ascii="仿宋" w:hAnsi="仿宋" w:cs="仿宋" w:hint="eastAsia"/>
                <w:kern w:val="0"/>
                <w:sz w:val="24"/>
              </w:rPr>
              <w:t>12</w:t>
            </w:r>
          </w:p>
        </w:tc>
        <w:tc>
          <w:tcPr>
            <w:tcW w:w="5236" w:type="dxa"/>
            <w:vAlign w:val="center"/>
          </w:tcPr>
          <w:p w:rsidR="00FD25A4" w:rsidRDefault="00FD25A4" w:rsidP="00397E8C">
            <w:pPr>
              <w:spacing w:line="280" w:lineRule="exact"/>
              <w:rPr>
                <w:rFonts w:ascii="仿宋" w:hAnsi="仿宋" w:cs="仿宋" w:hint="eastAsia"/>
                <w:kern w:val="0"/>
                <w:sz w:val="24"/>
              </w:rPr>
            </w:pPr>
            <w:r>
              <w:rPr>
                <w:rFonts w:ascii="仿宋" w:hAnsi="仿宋" w:cs="仿宋" w:hint="eastAsia"/>
                <w:kern w:val="0"/>
                <w:sz w:val="24"/>
              </w:rPr>
              <w:t>承托高瓦斯、煤与瓦斯突出、煤层容易自燃、水文地质类型复杂极复杂、冲击地压等灾害严重的矿井，承托方是否具有相应灾害类型矿井安全管理经验、技术水平和良好业绩。</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744"/>
          <w:jc w:val="center"/>
        </w:trPr>
        <w:tc>
          <w:tcPr>
            <w:tcW w:w="481" w:type="dxa"/>
            <w:vAlign w:val="center"/>
          </w:tcPr>
          <w:p w:rsidR="00FD25A4" w:rsidRDefault="00FD25A4" w:rsidP="00397E8C">
            <w:pPr>
              <w:spacing w:line="300" w:lineRule="exact"/>
              <w:jc w:val="center"/>
              <w:rPr>
                <w:rFonts w:ascii="仿宋" w:hAnsi="仿宋" w:cs="仿宋" w:hint="eastAsia"/>
                <w:kern w:val="0"/>
                <w:sz w:val="24"/>
              </w:rPr>
            </w:pPr>
            <w:r>
              <w:rPr>
                <w:rFonts w:ascii="仿宋" w:hAnsi="仿宋" w:cs="仿宋" w:hint="eastAsia"/>
                <w:kern w:val="0"/>
                <w:sz w:val="24"/>
              </w:rPr>
              <w:t>13</w:t>
            </w:r>
          </w:p>
        </w:tc>
        <w:tc>
          <w:tcPr>
            <w:tcW w:w="5236" w:type="dxa"/>
            <w:vAlign w:val="center"/>
          </w:tcPr>
          <w:p w:rsidR="00FD25A4" w:rsidRDefault="00FD25A4" w:rsidP="00397E8C">
            <w:pPr>
              <w:spacing w:line="280" w:lineRule="exact"/>
              <w:rPr>
                <w:rFonts w:ascii="仿宋" w:hAnsi="仿宋" w:cs="仿宋" w:hint="eastAsia"/>
                <w:kern w:val="0"/>
                <w:sz w:val="24"/>
              </w:rPr>
            </w:pPr>
            <w:r>
              <w:rPr>
                <w:rFonts w:ascii="仿宋" w:hAnsi="仿宋" w:cs="仿宋" w:hint="eastAsia"/>
                <w:kern w:val="0"/>
                <w:sz w:val="24"/>
              </w:rPr>
              <w:t>委托方与承托方在承包合同中是否明确各自的安全生产管理职责。</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850"/>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14</w:t>
            </w:r>
          </w:p>
        </w:tc>
        <w:tc>
          <w:tcPr>
            <w:tcW w:w="5236" w:type="dxa"/>
            <w:vAlign w:val="center"/>
          </w:tcPr>
          <w:p w:rsidR="00FD25A4" w:rsidRDefault="00FD25A4" w:rsidP="00397E8C">
            <w:pPr>
              <w:spacing w:line="280" w:lineRule="exact"/>
              <w:rPr>
                <w:rFonts w:ascii="仿宋" w:hAnsi="仿宋" w:cs="仿宋" w:hint="eastAsia"/>
                <w:sz w:val="24"/>
              </w:rPr>
            </w:pPr>
            <w:r>
              <w:rPr>
                <w:rFonts w:ascii="仿宋" w:hAnsi="仿宋" w:cs="仿宋" w:hint="eastAsia"/>
                <w:sz w:val="24"/>
              </w:rPr>
              <w:t>承托方是否设置必要的安全管理机构和专职或兼职安全管理人员。</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686"/>
          <w:jc w:val="center"/>
        </w:trPr>
        <w:tc>
          <w:tcPr>
            <w:tcW w:w="481" w:type="dxa"/>
            <w:vAlign w:val="center"/>
          </w:tcPr>
          <w:p w:rsidR="00FD25A4" w:rsidRDefault="00FD25A4" w:rsidP="00397E8C">
            <w:pPr>
              <w:spacing w:line="300" w:lineRule="exact"/>
              <w:jc w:val="center"/>
              <w:rPr>
                <w:rFonts w:ascii="仿宋" w:hAnsi="仿宋" w:cs="仿宋" w:hint="eastAsia"/>
                <w:kern w:val="0"/>
                <w:sz w:val="24"/>
              </w:rPr>
            </w:pPr>
            <w:r>
              <w:rPr>
                <w:rFonts w:ascii="仿宋" w:hAnsi="仿宋" w:cs="仿宋" w:hint="eastAsia"/>
                <w:sz w:val="24"/>
              </w:rPr>
              <w:lastRenderedPageBreak/>
              <w:t>15</w:t>
            </w:r>
          </w:p>
        </w:tc>
        <w:tc>
          <w:tcPr>
            <w:tcW w:w="5236" w:type="dxa"/>
            <w:vAlign w:val="center"/>
          </w:tcPr>
          <w:p w:rsidR="00FD25A4" w:rsidRDefault="00FD25A4" w:rsidP="00397E8C">
            <w:pPr>
              <w:spacing w:line="280" w:lineRule="exact"/>
              <w:rPr>
                <w:rFonts w:ascii="仿宋" w:hAnsi="仿宋" w:cs="仿宋" w:hint="eastAsia"/>
                <w:sz w:val="24"/>
              </w:rPr>
            </w:pPr>
            <w:r>
              <w:rPr>
                <w:rFonts w:ascii="仿宋" w:hAnsi="仿宋" w:cs="仿宋" w:hint="eastAsia"/>
                <w:sz w:val="24"/>
              </w:rPr>
              <w:t>承托方是否按规定将委托方支付的安全生产费用落实到位、专款专用。</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972"/>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16</w:t>
            </w:r>
          </w:p>
        </w:tc>
        <w:tc>
          <w:tcPr>
            <w:tcW w:w="5236" w:type="dxa"/>
            <w:vAlign w:val="center"/>
          </w:tcPr>
          <w:p w:rsidR="00FD25A4" w:rsidRDefault="00FD25A4" w:rsidP="00397E8C">
            <w:pPr>
              <w:spacing w:line="280" w:lineRule="exact"/>
              <w:rPr>
                <w:rFonts w:ascii="仿宋" w:hAnsi="仿宋" w:cs="仿宋" w:hint="eastAsia"/>
                <w:sz w:val="24"/>
              </w:rPr>
            </w:pPr>
            <w:r>
              <w:rPr>
                <w:rFonts w:ascii="仿宋" w:hAnsi="仿宋" w:cs="仿宋" w:hint="eastAsia"/>
                <w:sz w:val="24"/>
              </w:rPr>
              <w:t>委托方是否对承托方每季度至少进行一次安全检查，是否每半年至少进行一次安全教育培训与考核。</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850"/>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17</w:t>
            </w:r>
          </w:p>
        </w:tc>
        <w:tc>
          <w:tcPr>
            <w:tcW w:w="5236" w:type="dxa"/>
            <w:vAlign w:val="center"/>
          </w:tcPr>
          <w:p w:rsidR="00FD25A4" w:rsidRDefault="00FD25A4" w:rsidP="00397E8C">
            <w:pPr>
              <w:spacing w:line="280" w:lineRule="exact"/>
              <w:rPr>
                <w:rFonts w:ascii="仿宋" w:hAnsi="仿宋" w:cs="仿宋" w:hint="eastAsia"/>
                <w:kern w:val="0"/>
                <w:sz w:val="24"/>
              </w:rPr>
            </w:pPr>
            <w:r>
              <w:rPr>
                <w:rFonts w:ascii="仿宋" w:hAnsi="仿宋" w:cs="仿宋" w:hint="eastAsia"/>
                <w:kern w:val="0"/>
                <w:sz w:val="24"/>
              </w:rPr>
              <w:t>委托方与承托方是否存在安全责任不清、推诿扯皮，安全管理“两张皮”的。</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948"/>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18</w:t>
            </w:r>
          </w:p>
        </w:tc>
        <w:tc>
          <w:tcPr>
            <w:tcW w:w="5236" w:type="dxa"/>
            <w:vAlign w:val="center"/>
          </w:tcPr>
          <w:p w:rsidR="00FD25A4" w:rsidRDefault="00FD25A4" w:rsidP="00397E8C">
            <w:pPr>
              <w:spacing w:line="280" w:lineRule="exact"/>
              <w:rPr>
                <w:rFonts w:ascii="仿宋" w:hAnsi="仿宋" w:cs="仿宋" w:hint="eastAsia"/>
                <w:kern w:val="0"/>
                <w:sz w:val="24"/>
              </w:rPr>
            </w:pPr>
            <w:r>
              <w:rPr>
                <w:rFonts w:ascii="仿宋" w:hAnsi="仿宋" w:cs="仿宋" w:hint="eastAsia"/>
                <w:kern w:val="0"/>
                <w:sz w:val="24"/>
              </w:rPr>
              <w:t>煤矿企业是否以各种方式干扰鉴定评价工作，要求安全检测检验机构提供指向性假报告、假记录，打擦边球等行为。</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850"/>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19</w:t>
            </w:r>
          </w:p>
        </w:tc>
        <w:tc>
          <w:tcPr>
            <w:tcW w:w="5236" w:type="dxa"/>
            <w:vAlign w:val="center"/>
          </w:tcPr>
          <w:p w:rsidR="00FD25A4" w:rsidRDefault="00FD25A4" w:rsidP="00397E8C">
            <w:pPr>
              <w:spacing w:line="280" w:lineRule="exact"/>
              <w:rPr>
                <w:rFonts w:ascii="仿宋" w:hAnsi="仿宋" w:cs="仿宋" w:hint="eastAsia"/>
                <w:sz w:val="24"/>
              </w:rPr>
            </w:pPr>
            <w:r>
              <w:rPr>
                <w:rFonts w:ascii="仿宋" w:hAnsi="仿宋" w:cs="仿宋" w:hint="eastAsia"/>
                <w:sz w:val="24"/>
              </w:rPr>
              <w:t>是否向检测检验机构提供假资料、避重就轻、不积极配合导致鉴定评价结果不真实等现象。</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850"/>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20</w:t>
            </w:r>
          </w:p>
        </w:tc>
        <w:tc>
          <w:tcPr>
            <w:tcW w:w="5236" w:type="dxa"/>
            <w:vAlign w:val="center"/>
          </w:tcPr>
          <w:p w:rsidR="00FD25A4" w:rsidRDefault="00FD25A4" w:rsidP="00397E8C">
            <w:pPr>
              <w:spacing w:line="280" w:lineRule="exact"/>
              <w:rPr>
                <w:rFonts w:ascii="仿宋" w:hAnsi="仿宋" w:cs="仿宋" w:hint="eastAsia"/>
                <w:kern w:val="0"/>
                <w:sz w:val="24"/>
              </w:rPr>
            </w:pPr>
            <w:r>
              <w:rPr>
                <w:rFonts w:ascii="仿宋" w:hAnsi="仿宋" w:cs="仿宋" w:hint="eastAsia"/>
                <w:kern w:val="0"/>
                <w:sz w:val="24"/>
              </w:rPr>
              <w:t>煤矿安全评价检测检验机构是否存在弄虚作假、降低标准，出具假报告、假记录、假数据等现象。</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850"/>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21</w:t>
            </w:r>
          </w:p>
        </w:tc>
        <w:tc>
          <w:tcPr>
            <w:tcW w:w="5236" w:type="dxa"/>
            <w:vAlign w:val="center"/>
          </w:tcPr>
          <w:p w:rsidR="00FD25A4" w:rsidRDefault="00FD25A4" w:rsidP="00397E8C">
            <w:pPr>
              <w:spacing w:line="280" w:lineRule="exact"/>
              <w:rPr>
                <w:rFonts w:ascii="仿宋" w:hAnsi="仿宋" w:cs="仿宋" w:hint="eastAsia"/>
                <w:kern w:val="0"/>
                <w:sz w:val="24"/>
              </w:rPr>
            </w:pPr>
            <w:r>
              <w:rPr>
                <w:rFonts w:ascii="仿宋" w:hAnsi="仿宋" w:cs="仿宋" w:hint="eastAsia"/>
                <w:kern w:val="0"/>
                <w:sz w:val="24"/>
              </w:rPr>
              <w:t>检测检验机构是否按照规定要求开展现场业务，日常业务报告、记录是否规范。</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876"/>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22</w:t>
            </w:r>
          </w:p>
        </w:tc>
        <w:tc>
          <w:tcPr>
            <w:tcW w:w="5236" w:type="dxa"/>
            <w:vAlign w:val="center"/>
          </w:tcPr>
          <w:p w:rsidR="00FD25A4" w:rsidRDefault="00FD25A4" w:rsidP="00397E8C">
            <w:pPr>
              <w:spacing w:line="280" w:lineRule="exact"/>
              <w:rPr>
                <w:rFonts w:ascii="仿宋" w:hAnsi="仿宋" w:cs="仿宋" w:hint="eastAsia"/>
                <w:kern w:val="0"/>
                <w:sz w:val="24"/>
              </w:rPr>
            </w:pPr>
            <w:r>
              <w:rPr>
                <w:rFonts w:ascii="仿宋" w:hAnsi="仿宋" w:cs="仿宋" w:hint="eastAsia"/>
                <w:kern w:val="0"/>
                <w:sz w:val="24"/>
              </w:rPr>
              <w:t>检测检验机构实验室场所及主要负责人、技术负责人、签字授权人等变化但未及时履行变更申请审批手续。</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744"/>
          <w:jc w:val="center"/>
        </w:trPr>
        <w:tc>
          <w:tcPr>
            <w:tcW w:w="481" w:type="dxa"/>
            <w:vAlign w:val="center"/>
          </w:tcPr>
          <w:p w:rsidR="00FD25A4" w:rsidRDefault="00FD25A4" w:rsidP="00397E8C">
            <w:pPr>
              <w:spacing w:line="300" w:lineRule="exact"/>
              <w:jc w:val="center"/>
              <w:rPr>
                <w:rFonts w:ascii="仿宋" w:hAnsi="仿宋" w:cs="仿宋" w:hint="eastAsia"/>
                <w:kern w:val="0"/>
                <w:sz w:val="24"/>
              </w:rPr>
            </w:pPr>
            <w:r>
              <w:rPr>
                <w:rFonts w:ascii="仿宋" w:hAnsi="仿宋" w:cs="仿宋" w:hint="eastAsia"/>
                <w:kern w:val="0"/>
                <w:sz w:val="24"/>
              </w:rPr>
              <w:lastRenderedPageBreak/>
              <w:t>23</w:t>
            </w:r>
          </w:p>
        </w:tc>
        <w:tc>
          <w:tcPr>
            <w:tcW w:w="5236" w:type="dxa"/>
            <w:vAlign w:val="center"/>
          </w:tcPr>
          <w:p w:rsidR="00FD25A4" w:rsidRDefault="00FD25A4" w:rsidP="00397E8C">
            <w:pPr>
              <w:spacing w:line="280" w:lineRule="exact"/>
              <w:rPr>
                <w:rFonts w:ascii="仿宋" w:hAnsi="仿宋" w:cs="仿宋" w:hint="eastAsia"/>
                <w:sz w:val="24"/>
              </w:rPr>
            </w:pPr>
            <w:r>
              <w:rPr>
                <w:rFonts w:ascii="仿宋" w:hAnsi="仿宋" w:cs="仿宋" w:hint="eastAsia"/>
                <w:kern w:val="0"/>
                <w:sz w:val="24"/>
              </w:rPr>
              <w:t>检测检验机构</w:t>
            </w:r>
            <w:r>
              <w:rPr>
                <w:rFonts w:ascii="仿宋" w:hAnsi="仿宋" w:cs="仿宋" w:hint="eastAsia"/>
                <w:sz w:val="24"/>
              </w:rPr>
              <w:t>是否按照既定管理体系文件正常运行。</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850"/>
          <w:jc w:val="center"/>
        </w:trPr>
        <w:tc>
          <w:tcPr>
            <w:tcW w:w="481" w:type="dxa"/>
            <w:vAlign w:val="center"/>
          </w:tcPr>
          <w:p w:rsidR="00FD25A4" w:rsidRDefault="00FD25A4" w:rsidP="00397E8C">
            <w:pPr>
              <w:spacing w:line="300" w:lineRule="exact"/>
              <w:jc w:val="center"/>
              <w:rPr>
                <w:rFonts w:ascii="仿宋" w:hAnsi="仿宋" w:cs="仿宋" w:hint="eastAsia"/>
                <w:kern w:val="0"/>
                <w:sz w:val="24"/>
              </w:rPr>
            </w:pPr>
            <w:r>
              <w:rPr>
                <w:rFonts w:ascii="仿宋" w:hAnsi="仿宋" w:cs="仿宋" w:hint="eastAsia"/>
                <w:kern w:val="0"/>
                <w:sz w:val="24"/>
              </w:rPr>
              <w:t>24</w:t>
            </w:r>
          </w:p>
        </w:tc>
        <w:tc>
          <w:tcPr>
            <w:tcW w:w="5236" w:type="dxa"/>
            <w:vAlign w:val="center"/>
          </w:tcPr>
          <w:p w:rsidR="00FD25A4" w:rsidRDefault="00FD25A4" w:rsidP="00397E8C">
            <w:pPr>
              <w:spacing w:line="280" w:lineRule="exact"/>
              <w:rPr>
                <w:rFonts w:ascii="仿宋" w:hAnsi="仿宋" w:cs="仿宋" w:hint="eastAsia"/>
                <w:kern w:val="0"/>
                <w:sz w:val="24"/>
              </w:rPr>
            </w:pPr>
            <w:r>
              <w:rPr>
                <w:rFonts w:ascii="仿宋" w:hAnsi="仿宋" w:cs="仿宋" w:hint="eastAsia"/>
                <w:kern w:val="0"/>
                <w:sz w:val="24"/>
              </w:rPr>
              <w:t>煤矿安全培训机构是否存在乱收费、培训只上机不授课、考勤不严等现象。</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744"/>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25</w:t>
            </w:r>
          </w:p>
        </w:tc>
        <w:tc>
          <w:tcPr>
            <w:tcW w:w="5236" w:type="dxa"/>
            <w:vAlign w:val="center"/>
          </w:tcPr>
          <w:p w:rsidR="00FD25A4" w:rsidRDefault="00FD25A4" w:rsidP="00397E8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280" w:lineRule="exact"/>
              <w:jc w:val="both"/>
              <w:rPr>
                <w:rFonts w:ascii="仿宋" w:eastAsia="仿宋" w:hAnsi="仿宋" w:cs="仿宋"/>
              </w:rPr>
            </w:pPr>
            <w:r>
              <w:rPr>
                <w:rFonts w:ascii="仿宋" w:eastAsia="仿宋" w:hAnsi="仿宋" w:cs="仿宋"/>
              </w:rPr>
              <w:t>煤矿安全培训机构是否存在培训场地设施陈旧、实</w:t>
            </w:r>
            <w:r w:rsidRPr="00A63F38">
              <w:rPr>
                <w:rFonts w:ascii="仿宋" w:eastAsia="仿宋" w:hAnsi="仿宋" w:cs="仿宋"/>
                <w:color w:val="FF00FF"/>
              </w:rPr>
              <w:t>操</w:t>
            </w:r>
            <w:r>
              <w:rPr>
                <w:rFonts w:ascii="仿宋" w:eastAsia="仿宋" w:hAnsi="仿宋" w:cs="仿宋"/>
              </w:rPr>
              <w:t>设备落后等问题。</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794"/>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26</w:t>
            </w:r>
          </w:p>
        </w:tc>
        <w:tc>
          <w:tcPr>
            <w:tcW w:w="5236" w:type="dxa"/>
            <w:vAlign w:val="center"/>
          </w:tcPr>
          <w:p w:rsidR="00FD25A4" w:rsidRDefault="00FD25A4" w:rsidP="00397E8C">
            <w:pPr>
              <w:spacing w:line="280" w:lineRule="exact"/>
              <w:rPr>
                <w:rFonts w:ascii="仿宋" w:hAnsi="仿宋" w:cs="仿宋" w:hint="eastAsia"/>
                <w:sz w:val="24"/>
              </w:rPr>
            </w:pPr>
            <w:r>
              <w:rPr>
                <w:rFonts w:ascii="仿宋" w:hAnsi="仿宋" w:cs="仿宋" w:hint="eastAsia"/>
                <w:sz w:val="24"/>
              </w:rPr>
              <w:t>是否成立雨季三防（防洪、防排水和防雷电）工作领导机构，明确责任和措施，制定应急预案。</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794"/>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27</w:t>
            </w:r>
          </w:p>
        </w:tc>
        <w:tc>
          <w:tcPr>
            <w:tcW w:w="5236" w:type="dxa"/>
            <w:vAlign w:val="center"/>
          </w:tcPr>
          <w:p w:rsidR="00FD25A4" w:rsidRDefault="00FD25A4" w:rsidP="00397E8C">
            <w:pPr>
              <w:spacing w:line="280" w:lineRule="exact"/>
              <w:rPr>
                <w:rFonts w:ascii="仿宋" w:hAnsi="仿宋" w:cs="仿宋" w:hint="eastAsia"/>
                <w:sz w:val="24"/>
              </w:rPr>
            </w:pPr>
            <w:r>
              <w:rPr>
                <w:rFonts w:ascii="仿宋" w:hAnsi="仿宋" w:cs="仿宋" w:hint="eastAsia"/>
                <w:sz w:val="24"/>
              </w:rPr>
              <w:t>水文地质类型复杂、极复杂煤矿，是否设立专门的防治水机构、配备防治水副总工程师。</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794"/>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28</w:t>
            </w:r>
          </w:p>
        </w:tc>
        <w:tc>
          <w:tcPr>
            <w:tcW w:w="5236" w:type="dxa"/>
            <w:vAlign w:val="center"/>
          </w:tcPr>
          <w:p w:rsidR="00FD25A4" w:rsidRDefault="00FD25A4" w:rsidP="00397E8C">
            <w:pPr>
              <w:spacing w:line="280" w:lineRule="exact"/>
              <w:rPr>
                <w:rFonts w:ascii="仿宋" w:hAnsi="仿宋" w:cs="仿宋" w:hint="eastAsia"/>
                <w:sz w:val="24"/>
              </w:rPr>
            </w:pPr>
            <w:r>
              <w:rPr>
                <w:rFonts w:ascii="仿宋" w:hAnsi="仿宋" w:cs="仿宋" w:hint="eastAsia"/>
                <w:sz w:val="24"/>
              </w:rPr>
              <w:t>是否开展隐蔽致灾因素普查核查；是否掌握井田、周边水文地质条件。</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794"/>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29</w:t>
            </w:r>
          </w:p>
        </w:tc>
        <w:tc>
          <w:tcPr>
            <w:tcW w:w="5236" w:type="dxa"/>
            <w:vAlign w:val="center"/>
          </w:tcPr>
          <w:p w:rsidR="00FD25A4" w:rsidRDefault="00FD25A4" w:rsidP="00397E8C">
            <w:pPr>
              <w:spacing w:line="280" w:lineRule="exact"/>
              <w:rPr>
                <w:rFonts w:ascii="仿宋" w:hAnsi="仿宋" w:cs="仿宋" w:hint="eastAsia"/>
                <w:sz w:val="24"/>
              </w:rPr>
            </w:pPr>
            <w:r>
              <w:rPr>
                <w:rFonts w:ascii="仿宋" w:hAnsi="仿宋" w:cs="仿宋" w:hint="eastAsia"/>
                <w:sz w:val="24"/>
              </w:rPr>
              <w:t>是否配备足够的防治水专业技术人员和专职探放水作业人员。</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510"/>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30</w:t>
            </w:r>
          </w:p>
        </w:tc>
        <w:tc>
          <w:tcPr>
            <w:tcW w:w="5236" w:type="dxa"/>
            <w:vAlign w:val="center"/>
          </w:tcPr>
          <w:p w:rsidR="00FD25A4" w:rsidRDefault="00FD25A4" w:rsidP="00397E8C">
            <w:pPr>
              <w:spacing w:line="280" w:lineRule="exact"/>
              <w:rPr>
                <w:rFonts w:ascii="仿宋" w:hAnsi="仿宋" w:cs="仿宋" w:hint="eastAsia"/>
                <w:sz w:val="24"/>
              </w:rPr>
            </w:pPr>
            <w:r>
              <w:rPr>
                <w:rFonts w:ascii="仿宋" w:hAnsi="仿宋" w:cs="仿宋" w:hint="eastAsia"/>
                <w:sz w:val="24"/>
              </w:rPr>
              <w:t>是否进行双回路供电实验和防雷电实验。</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1232"/>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31</w:t>
            </w:r>
          </w:p>
        </w:tc>
        <w:tc>
          <w:tcPr>
            <w:tcW w:w="5236" w:type="dxa"/>
            <w:vAlign w:val="center"/>
          </w:tcPr>
          <w:p w:rsidR="00FD25A4" w:rsidRDefault="00FD25A4" w:rsidP="00397E8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280" w:lineRule="exact"/>
              <w:jc w:val="both"/>
              <w:rPr>
                <w:rFonts w:ascii="仿宋" w:eastAsia="仿宋" w:hAnsi="仿宋" w:cs="仿宋"/>
              </w:rPr>
            </w:pPr>
            <w:r>
              <w:rPr>
                <w:rFonts w:ascii="仿宋" w:eastAsia="仿宋" w:hAnsi="仿宋" w:cs="仿宋"/>
              </w:rPr>
              <w:t>是否对矿内外的防洪渠道、排水沟渠、井口周围护坡、职工宿舍、食堂、工业广场、采空区上方、地面裂缝及井口接地、防雷电设施等进行全面排查。</w:t>
            </w:r>
            <w:bookmarkStart w:id="0" w:name="_GoBack"/>
            <w:bookmarkEnd w:id="0"/>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794"/>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lastRenderedPageBreak/>
              <w:t>32</w:t>
            </w:r>
          </w:p>
        </w:tc>
        <w:tc>
          <w:tcPr>
            <w:tcW w:w="5236" w:type="dxa"/>
            <w:vAlign w:val="center"/>
          </w:tcPr>
          <w:p w:rsidR="00FD25A4" w:rsidRDefault="00FD25A4" w:rsidP="00397E8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280" w:lineRule="exact"/>
              <w:jc w:val="both"/>
              <w:rPr>
                <w:rFonts w:ascii="仿宋" w:eastAsia="仿宋" w:hAnsi="仿宋" w:cs="仿宋"/>
              </w:rPr>
            </w:pPr>
            <w:r>
              <w:rPr>
                <w:rFonts w:ascii="仿宋" w:eastAsia="仿宋" w:hAnsi="仿宋" w:cs="仿宋"/>
              </w:rPr>
              <w:t>是否对全部工作水泵、备用水泵及潜水泵进行联合排水实验。</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794"/>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33</w:t>
            </w:r>
          </w:p>
        </w:tc>
        <w:tc>
          <w:tcPr>
            <w:tcW w:w="5236" w:type="dxa"/>
            <w:vAlign w:val="center"/>
          </w:tcPr>
          <w:p w:rsidR="00FD25A4" w:rsidRDefault="00FD25A4" w:rsidP="00397E8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280" w:lineRule="exact"/>
              <w:jc w:val="both"/>
              <w:rPr>
                <w:rFonts w:ascii="仿宋" w:eastAsia="仿宋" w:hAnsi="仿宋" w:cs="仿宋"/>
              </w:rPr>
            </w:pPr>
            <w:r>
              <w:rPr>
                <w:rFonts w:ascii="仿宋" w:eastAsia="仿宋" w:hAnsi="仿宋" w:cs="仿宋"/>
              </w:rPr>
              <w:t>是否赋予跟班矿领导、调度员、班组长、安监员、瓦检员在发现重大险情时立即撤人的权力。</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r w:rsidR="00FD25A4" w:rsidTr="00397E8C">
        <w:trPr>
          <w:trHeight w:val="790"/>
          <w:jc w:val="center"/>
        </w:trPr>
        <w:tc>
          <w:tcPr>
            <w:tcW w:w="481" w:type="dxa"/>
            <w:vAlign w:val="center"/>
          </w:tcPr>
          <w:p w:rsidR="00FD25A4" w:rsidRDefault="00FD25A4" w:rsidP="00397E8C">
            <w:pPr>
              <w:spacing w:line="300" w:lineRule="exact"/>
              <w:jc w:val="center"/>
              <w:rPr>
                <w:rFonts w:ascii="仿宋" w:hAnsi="仿宋" w:cs="仿宋" w:hint="eastAsia"/>
                <w:sz w:val="24"/>
              </w:rPr>
            </w:pPr>
            <w:r>
              <w:rPr>
                <w:rFonts w:ascii="仿宋" w:hAnsi="仿宋" w:cs="仿宋" w:hint="eastAsia"/>
                <w:sz w:val="24"/>
              </w:rPr>
              <w:t>34</w:t>
            </w:r>
          </w:p>
        </w:tc>
        <w:tc>
          <w:tcPr>
            <w:tcW w:w="5236" w:type="dxa"/>
            <w:vAlign w:val="center"/>
          </w:tcPr>
          <w:p w:rsidR="00FD25A4" w:rsidRDefault="00FD25A4" w:rsidP="00397E8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280" w:lineRule="exact"/>
              <w:jc w:val="both"/>
              <w:rPr>
                <w:rFonts w:ascii="仿宋" w:eastAsia="仿宋" w:hAnsi="仿宋" w:cs="仿宋"/>
              </w:rPr>
            </w:pPr>
            <w:r>
              <w:rPr>
                <w:rFonts w:ascii="仿宋" w:eastAsia="仿宋" w:hAnsi="仿宋" w:cs="仿宋"/>
              </w:rPr>
              <w:t>是否贯彻落实《陕西省煤矿防治水管理规定（试行）》相关要求。</w:t>
            </w:r>
          </w:p>
        </w:tc>
        <w:tc>
          <w:tcPr>
            <w:tcW w:w="2918" w:type="dxa"/>
            <w:vAlign w:val="center"/>
          </w:tcPr>
          <w:p w:rsidR="00FD25A4" w:rsidRDefault="00FD25A4" w:rsidP="00397E8C">
            <w:pPr>
              <w:spacing w:line="300" w:lineRule="exact"/>
              <w:jc w:val="center"/>
              <w:rPr>
                <w:rFonts w:ascii="仿宋" w:hAnsi="仿宋" w:cs="仿宋" w:hint="eastAsia"/>
                <w:sz w:val="24"/>
              </w:rPr>
            </w:pPr>
          </w:p>
        </w:tc>
        <w:tc>
          <w:tcPr>
            <w:tcW w:w="1412" w:type="dxa"/>
            <w:vAlign w:val="center"/>
          </w:tcPr>
          <w:p w:rsidR="00FD25A4" w:rsidRDefault="00FD25A4" w:rsidP="00397E8C">
            <w:pPr>
              <w:spacing w:line="300" w:lineRule="exact"/>
              <w:jc w:val="center"/>
              <w:rPr>
                <w:rFonts w:ascii="仿宋_GB2312" w:hint="eastAsia"/>
                <w:sz w:val="24"/>
              </w:rPr>
            </w:pPr>
          </w:p>
        </w:tc>
        <w:tc>
          <w:tcPr>
            <w:tcW w:w="1455" w:type="dxa"/>
          </w:tcPr>
          <w:p w:rsidR="00FD25A4" w:rsidRDefault="00FD25A4" w:rsidP="00397E8C">
            <w:pPr>
              <w:spacing w:line="300" w:lineRule="exact"/>
              <w:jc w:val="center"/>
              <w:rPr>
                <w:rFonts w:ascii="仿宋_GB2312" w:hint="eastAsia"/>
                <w:sz w:val="24"/>
              </w:rPr>
            </w:pPr>
          </w:p>
        </w:tc>
        <w:tc>
          <w:tcPr>
            <w:tcW w:w="2240" w:type="dxa"/>
          </w:tcPr>
          <w:p w:rsidR="00FD25A4" w:rsidRDefault="00FD25A4" w:rsidP="00397E8C">
            <w:pPr>
              <w:spacing w:line="300" w:lineRule="exact"/>
              <w:jc w:val="center"/>
              <w:rPr>
                <w:rFonts w:ascii="仿宋_GB2312" w:hint="eastAsia"/>
                <w:sz w:val="24"/>
              </w:rPr>
            </w:pPr>
          </w:p>
        </w:tc>
      </w:tr>
    </w:tbl>
    <w:p w:rsidR="00FD25A4" w:rsidRDefault="00FD25A4" w:rsidP="00FD25A4">
      <w:pPr>
        <w:jc w:val="left"/>
        <w:rPr>
          <w:rFonts w:ascii="仿宋_GB2312" w:hAnsi="仿宋"/>
          <w:sz w:val="21"/>
          <w:szCs w:val="21"/>
        </w:rPr>
      </w:pPr>
      <w:r>
        <w:rPr>
          <w:rFonts w:hint="eastAsia"/>
          <w:spacing w:val="-2"/>
          <w:sz w:val="21"/>
          <w:szCs w:val="21"/>
        </w:rPr>
        <w:t xml:space="preserve">  </w:t>
      </w:r>
      <w:r>
        <w:rPr>
          <w:rFonts w:hint="eastAsia"/>
          <w:spacing w:val="-2"/>
          <w:sz w:val="24"/>
        </w:rPr>
        <w:t xml:space="preserve"> </w:t>
      </w:r>
      <w:r>
        <w:rPr>
          <w:rFonts w:hint="eastAsia"/>
          <w:spacing w:val="-2"/>
          <w:sz w:val="24"/>
        </w:rPr>
        <w:t>注：煤矿不涉及的内容，检查时“现状描述”栏填写“不涉及”。</w:t>
      </w:r>
    </w:p>
    <w:p w:rsidR="00696409" w:rsidRDefault="00696409"/>
    <w:sectPr w:rsidR="00696409" w:rsidSect="00FD25A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797" w:rsidRDefault="00C96797" w:rsidP="00FD25A4">
      <w:r>
        <w:separator/>
      </w:r>
    </w:p>
  </w:endnote>
  <w:endnote w:type="continuationSeparator" w:id="0">
    <w:p w:rsidR="00C96797" w:rsidRDefault="00C96797" w:rsidP="00FD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797" w:rsidRDefault="00C96797" w:rsidP="00FD25A4">
      <w:r>
        <w:separator/>
      </w:r>
    </w:p>
  </w:footnote>
  <w:footnote w:type="continuationSeparator" w:id="0">
    <w:p w:rsidR="00C96797" w:rsidRDefault="00C96797" w:rsidP="00FD25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86"/>
    <w:rsid w:val="0001704E"/>
    <w:rsid w:val="000229BD"/>
    <w:rsid w:val="00035244"/>
    <w:rsid w:val="00035CE3"/>
    <w:rsid w:val="00044E3F"/>
    <w:rsid w:val="00063D51"/>
    <w:rsid w:val="00066C06"/>
    <w:rsid w:val="0008616D"/>
    <w:rsid w:val="00086DB8"/>
    <w:rsid w:val="000B0AA0"/>
    <w:rsid w:val="000B561A"/>
    <w:rsid w:val="000D202B"/>
    <w:rsid w:val="000E6950"/>
    <w:rsid w:val="0013111A"/>
    <w:rsid w:val="00137752"/>
    <w:rsid w:val="001444C4"/>
    <w:rsid w:val="00153E45"/>
    <w:rsid w:val="0016472E"/>
    <w:rsid w:val="001B7B7E"/>
    <w:rsid w:val="001E542A"/>
    <w:rsid w:val="002204BA"/>
    <w:rsid w:val="00221AC5"/>
    <w:rsid w:val="00254E54"/>
    <w:rsid w:val="00267127"/>
    <w:rsid w:val="00277A1B"/>
    <w:rsid w:val="002864F5"/>
    <w:rsid w:val="002920C7"/>
    <w:rsid w:val="002A414D"/>
    <w:rsid w:val="002B0F23"/>
    <w:rsid w:val="002F30ED"/>
    <w:rsid w:val="00333440"/>
    <w:rsid w:val="00355286"/>
    <w:rsid w:val="0037591B"/>
    <w:rsid w:val="00394BB7"/>
    <w:rsid w:val="003E722E"/>
    <w:rsid w:val="003F6D5E"/>
    <w:rsid w:val="004C2593"/>
    <w:rsid w:val="004D0A78"/>
    <w:rsid w:val="004E3BDB"/>
    <w:rsid w:val="004E3DDE"/>
    <w:rsid w:val="004E6F4F"/>
    <w:rsid w:val="0050014F"/>
    <w:rsid w:val="00501185"/>
    <w:rsid w:val="00504ED1"/>
    <w:rsid w:val="00556BD1"/>
    <w:rsid w:val="0057459C"/>
    <w:rsid w:val="00574CDE"/>
    <w:rsid w:val="0059171E"/>
    <w:rsid w:val="005D1D47"/>
    <w:rsid w:val="005E16BF"/>
    <w:rsid w:val="00605050"/>
    <w:rsid w:val="006122B1"/>
    <w:rsid w:val="006462A4"/>
    <w:rsid w:val="00661E52"/>
    <w:rsid w:val="00673586"/>
    <w:rsid w:val="00696409"/>
    <w:rsid w:val="006A455A"/>
    <w:rsid w:val="006B4598"/>
    <w:rsid w:val="006E5A51"/>
    <w:rsid w:val="00737C54"/>
    <w:rsid w:val="00754C9B"/>
    <w:rsid w:val="00773551"/>
    <w:rsid w:val="007855FA"/>
    <w:rsid w:val="007C1F8D"/>
    <w:rsid w:val="007D6646"/>
    <w:rsid w:val="007F63FB"/>
    <w:rsid w:val="008220D8"/>
    <w:rsid w:val="00830463"/>
    <w:rsid w:val="0083193C"/>
    <w:rsid w:val="0085534B"/>
    <w:rsid w:val="008849D6"/>
    <w:rsid w:val="008C67AB"/>
    <w:rsid w:val="008F054A"/>
    <w:rsid w:val="00900FF1"/>
    <w:rsid w:val="0091418A"/>
    <w:rsid w:val="009226BA"/>
    <w:rsid w:val="009266A9"/>
    <w:rsid w:val="00930493"/>
    <w:rsid w:val="00936225"/>
    <w:rsid w:val="009362F2"/>
    <w:rsid w:val="00936FFC"/>
    <w:rsid w:val="00942D56"/>
    <w:rsid w:val="0098077C"/>
    <w:rsid w:val="009878AE"/>
    <w:rsid w:val="00990DCA"/>
    <w:rsid w:val="00994CAB"/>
    <w:rsid w:val="009D6575"/>
    <w:rsid w:val="009E4EDB"/>
    <w:rsid w:val="009E7184"/>
    <w:rsid w:val="00A05C14"/>
    <w:rsid w:val="00A1001B"/>
    <w:rsid w:val="00A10DEC"/>
    <w:rsid w:val="00A33B7D"/>
    <w:rsid w:val="00A34415"/>
    <w:rsid w:val="00AB032B"/>
    <w:rsid w:val="00AC1932"/>
    <w:rsid w:val="00AD04E2"/>
    <w:rsid w:val="00AE0381"/>
    <w:rsid w:val="00AE7B7A"/>
    <w:rsid w:val="00AF78D1"/>
    <w:rsid w:val="00B07C82"/>
    <w:rsid w:val="00B251F5"/>
    <w:rsid w:val="00B46D4F"/>
    <w:rsid w:val="00B61D33"/>
    <w:rsid w:val="00B72274"/>
    <w:rsid w:val="00B7489C"/>
    <w:rsid w:val="00B956AF"/>
    <w:rsid w:val="00C430DC"/>
    <w:rsid w:val="00C61EC7"/>
    <w:rsid w:val="00C842CA"/>
    <w:rsid w:val="00C96797"/>
    <w:rsid w:val="00CA1020"/>
    <w:rsid w:val="00CD3AD9"/>
    <w:rsid w:val="00CD67DC"/>
    <w:rsid w:val="00CF716D"/>
    <w:rsid w:val="00D42D7E"/>
    <w:rsid w:val="00D5692E"/>
    <w:rsid w:val="00DC2697"/>
    <w:rsid w:val="00DE3E6F"/>
    <w:rsid w:val="00DF6098"/>
    <w:rsid w:val="00E265F2"/>
    <w:rsid w:val="00E6101D"/>
    <w:rsid w:val="00E97EFA"/>
    <w:rsid w:val="00ED2F78"/>
    <w:rsid w:val="00F03429"/>
    <w:rsid w:val="00F412D1"/>
    <w:rsid w:val="00F42CBF"/>
    <w:rsid w:val="00F520CC"/>
    <w:rsid w:val="00F565FE"/>
    <w:rsid w:val="00F57E0C"/>
    <w:rsid w:val="00F70EC8"/>
    <w:rsid w:val="00F8093A"/>
    <w:rsid w:val="00F85DAC"/>
    <w:rsid w:val="00F92B71"/>
    <w:rsid w:val="00FB5E7C"/>
    <w:rsid w:val="00FB69D4"/>
    <w:rsid w:val="00FD25A4"/>
    <w:rsid w:val="00FE4361"/>
    <w:rsid w:val="00FF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7DD50A-6A7C-4DDA-A2E6-7CAFF077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5A4"/>
    <w:pPr>
      <w:widowControl w:val="0"/>
      <w:jc w:val="both"/>
    </w:pPr>
    <w:rPr>
      <w:rFonts w:ascii="Calibri" w:eastAsia="仿宋"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25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D25A4"/>
    <w:rPr>
      <w:sz w:val="18"/>
      <w:szCs w:val="18"/>
    </w:rPr>
  </w:style>
  <w:style w:type="paragraph" w:styleId="a4">
    <w:name w:val="footer"/>
    <w:basedOn w:val="a"/>
    <w:link w:val="Char0"/>
    <w:unhideWhenUsed/>
    <w:qFormat/>
    <w:rsid w:val="00FD25A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D25A4"/>
    <w:rPr>
      <w:sz w:val="18"/>
      <w:szCs w:val="18"/>
    </w:rPr>
  </w:style>
  <w:style w:type="paragraph" w:styleId="a5">
    <w:name w:val="Normal (Web)"/>
    <w:basedOn w:val="a"/>
    <w:qFormat/>
    <w:rsid w:val="00FD25A4"/>
    <w:pPr>
      <w:widowControl/>
      <w:spacing w:before="100" w:beforeAutospacing="1" w:after="100" w:afterAutospacing="1"/>
      <w:jc w:val="left"/>
    </w:pPr>
    <w:rPr>
      <w:rFonts w:ascii="宋体" w:eastAsia="宋体" w:hAnsi="宋体" w:hint="eastAsia"/>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268</Words>
  <Characters>1534</Characters>
  <Application>Microsoft Office Word</Application>
  <DocSecurity>0</DocSecurity>
  <Lines>12</Lines>
  <Paragraphs>3</Paragraphs>
  <ScaleCrop>false</ScaleCrop>
  <Company>MS</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2021-04-30T07:28:00Z</dcterms:created>
  <dcterms:modified xsi:type="dcterms:W3CDTF">2021-04-30T07:28:00Z</dcterms:modified>
</cp:coreProperties>
</file>