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sz w:val="32"/>
          <w:szCs w:val="32"/>
        </w:rPr>
      </w:pPr>
      <w:r>
        <w:rPr>
          <w:rFonts w:hint="eastAsia" w:ascii="黑体" w:hAnsi="黑体" w:eastAsia="黑体" w:cs="黑体"/>
          <w:sz w:val="32"/>
          <w:szCs w:val="32"/>
        </w:rPr>
        <w:t>附件</w:t>
      </w:r>
    </w:p>
    <w:p>
      <w:pPr>
        <w:spacing w:line="360" w:lineRule="auto"/>
        <w:rPr>
          <w:sz w:val="32"/>
          <w:szCs w:val="32"/>
        </w:rPr>
      </w:pPr>
    </w:p>
    <w:p>
      <w:pPr>
        <w:spacing w:line="360" w:lineRule="auto"/>
        <w:rPr>
          <w:sz w:val="32"/>
          <w:szCs w:val="32"/>
        </w:rPr>
      </w:pPr>
    </w:p>
    <w:p>
      <w:pPr>
        <w:spacing w:line="360" w:lineRule="auto"/>
        <w:rPr>
          <w:b/>
          <w:bCs/>
          <w:sz w:val="32"/>
          <w:szCs w:val="32"/>
        </w:rPr>
      </w:pPr>
    </w:p>
    <w:p>
      <w:pPr>
        <w:spacing w:line="360" w:lineRule="auto"/>
        <w:jc w:val="center"/>
        <w:rPr>
          <w:rFonts w:ascii="方正小标宋简体" w:hAnsi="微软雅黑" w:eastAsia="方正小标宋简体" w:cs="微软雅黑"/>
          <w:b w:val="0"/>
          <w:bCs w:val="0"/>
          <w:sz w:val="56"/>
          <w:szCs w:val="56"/>
        </w:rPr>
      </w:pPr>
      <w:r>
        <w:rPr>
          <w:rFonts w:hint="eastAsia" w:ascii="方正小标宋简体" w:hAnsi="微软雅黑" w:eastAsia="方正小标宋简体" w:cs="微软雅黑"/>
          <w:b w:val="0"/>
          <w:bCs w:val="0"/>
          <w:sz w:val="56"/>
          <w:szCs w:val="56"/>
        </w:rPr>
        <w:t>陕西省应急管理厅</w:t>
      </w:r>
    </w:p>
    <w:p>
      <w:pPr>
        <w:spacing w:line="360" w:lineRule="auto"/>
        <w:jc w:val="center"/>
        <w:rPr>
          <w:rFonts w:ascii="方正小标宋简体" w:hAnsi="微软雅黑" w:eastAsia="方正小标宋简体" w:cs="微软雅黑"/>
          <w:b w:val="0"/>
          <w:bCs w:val="0"/>
          <w:sz w:val="56"/>
          <w:szCs w:val="56"/>
        </w:rPr>
      </w:pPr>
      <w:r>
        <w:rPr>
          <w:rFonts w:hint="eastAsia" w:ascii="方正小标宋简体" w:hAnsi="微软雅黑" w:eastAsia="方正小标宋简体" w:cs="微软雅黑"/>
          <w:b w:val="0"/>
          <w:bCs w:val="0"/>
          <w:sz w:val="56"/>
          <w:szCs w:val="56"/>
        </w:rPr>
        <w:t>专家管理信息系统用户使用手册</w:t>
      </w: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rPr>
          <w:b/>
          <w:bCs/>
          <w:sz w:val="32"/>
          <w:szCs w:val="32"/>
        </w:rPr>
      </w:pPr>
    </w:p>
    <w:p>
      <w:pPr>
        <w:spacing w:line="360" w:lineRule="auto"/>
        <w:jc w:val="center"/>
        <w:rPr>
          <w:rFonts w:hint="eastAsia" w:ascii="楷体" w:hAnsi="楷体" w:eastAsia="楷体" w:cs="楷体"/>
          <w:b/>
          <w:bCs/>
          <w:sz w:val="40"/>
          <w:szCs w:val="40"/>
        </w:rPr>
      </w:pPr>
      <w:r>
        <w:rPr>
          <w:rFonts w:hint="eastAsia" w:ascii="楷体" w:hAnsi="楷体" w:eastAsia="楷体" w:cs="楷体"/>
          <w:b/>
          <w:bCs/>
          <w:sz w:val="40"/>
          <w:szCs w:val="40"/>
        </w:rPr>
        <w:t>科技和信息化处</w:t>
      </w:r>
    </w:p>
    <w:p>
      <w:pPr>
        <w:spacing w:line="360" w:lineRule="auto"/>
        <w:jc w:val="center"/>
        <w:rPr>
          <w:rFonts w:hint="eastAsia" w:ascii="楷体" w:hAnsi="楷体" w:eastAsia="楷体" w:cs="楷体"/>
          <w:b/>
          <w:bCs/>
          <w:sz w:val="40"/>
          <w:szCs w:val="40"/>
        </w:rPr>
      </w:pPr>
      <w:r>
        <w:rPr>
          <w:rFonts w:hint="eastAsia" w:ascii="楷体" w:hAnsi="楷体" w:eastAsia="楷体" w:cs="楷体"/>
          <w:b/>
          <w:bCs/>
          <w:sz w:val="40"/>
          <w:szCs w:val="40"/>
        </w:rPr>
        <w:t>2021年4月</w:t>
      </w:r>
    </w:p>
    <w:p/>
    <w:p/>
    <w:p>
      <w:pPr>
        <w:sectPr>
          <w:footerReference r:id="rId3" w:type="default"/>
          <w:pgSz w:w="11906" w:h="16838"/>
          <w:pgMar w:top="1440" w:right="1800" w:bottom="1440" w:left="1800" w:header="851" w:footer="992" w:gutter="0"/>
          <w:cols w:space="425" w:num="1"/>
          <w:docGrid w:type="lines" w:linePitch="312" w:charSpace="0"/>
        </w:sectPr>
      </w:pPr>
    </w:p>
    <w:p>
      <w:pPr>
        <w:spacing w:before="156" w:beforeLines="50" w:after="156" w:afterLines="50" w:line="360" w:lineRule="auto"/>
        <w:jc w:val="center"/>
        <w:rPr>
          <w:rFonts w:ascii="方正小标宋简体" w:eastAsia="方正小标宋简体"/>
          <w:sz w:val="32"/>
          <w:szCs w:val="32"/>
        </w:rPr>
      </w:pPr>
      <w:r>
        <w:rPr>
          <w:rFonts w:hint="eastAsia" w:ascii="方正小标宋简体" w:eastAsia="方正小标宋简体"/>
          <w:sz w:val="32"/>
          <w:szCs w:val="32"/>
        </w:rPr>
        <w:t>内容修订记录</w:t>
      </w:r>
    </w:p>
    <w:tbl>
      <w:tblPr>
        <w:tblStyle w:val="31"/>
        <w:tblW w:w="9073" w:type="dxa"/>
        <w:tblInd w:w="-44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7"/>
        <w:gridCol w:w="3544"/>
        <w:gridCol w:w="1417"/>
        <w:gridCol w:w="1276"/>
        <w:gridCol w:w="15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1277" w:type="dxa"/>
            <w:vAlign w:val="center"/>
          </w:tcPr>
          <w:p>
            <w:pPr>
              <w:jc w:val="center"/>
              <w:rPr>
                <w:b/>
                <w:bCs/>
                <w:sz w:val="24"/>
                <w:szCs w:val="24"/>
              </w:rPr>
            </w:pPr>
            <w:r>
              <w:rPr>
                <w:rFonts w:hint="eastAsia"/>
                <w:b/>
                <w:bCs/>
                <w:sz w:val="24"/>
                <w:szCs w:val="24"/>
              </w:rPr>
              <w:t>版本号</w:t>
            </w:r>
          </w:p>
        </w:tc>
        <w:tc>
          <w:tcPr>
            <w:tcW w:w="3544" w:type="dxa"/>
            <w:vAlign w:val="center"/>
          </w:tcPr>
          <w:p>
            <w:pPr>
              <w:jc w:val="center"/>
              <w:rPr>
                <w:b/>
                <w:bCs/>
                <w:sz w:val="24"/>
                <w:szCs w:val="24"/>
              </w:rPr>
            </w:pPr>
            <w:r>
              <w:rPr>
                <w:rFonts w:hint="eastAsia"/>
                <w:b/>
                <w:bCs/>
                <w:sz w:val="24"/>
                <w:szCs w:val="24"/>
              </w:rPr>
              <w:t>修订内容</w:t>
            </w:r>
          </w:p>
        </w:tc>
        <w:tc>
          <w:tcPr>
            <w:tcW w:w="1417" w:type="dxa"/>
            <w:vAlign w:val="center"/>
          </w:tcPr>
          <w:p>
            <w:pPr>
              <w:jc w:val="center"/>
              <w:rPr>
                <w:b/>
                <w:bCs/>
                <w:sz w:val="24"/>
                <w:szCs w:val="24"/>
              </w:rPr>
            </w:pPr>
            <w:r>
              <w:rPr>
                <w:rFonts w:hint="eastAsia"/>
                <w:b/>
                <w:bCs/>
                <w:sz w:val="24"/>
                <w:szCs w:val="24"/>
              </w:rPr>
              <w:t>修订人</w:t>
            </w:r>
          </w:p>
        </w:tc>
        <w:tc>
          <w:tcPr>
            <w:tcW w:w="1276" w:type="dxa"/>
            <w:vAlign w:val="center"/>
          </w:tcPr>
          <w:p>
            <w:pPr>
              <w:jc w:val="center"/>
              <w:rPr>
                <w:b/>
                <w:bCs/>
                <w:sz w:val="24"/>
                <w:szCs w:val="24"/>
              </w:rPr>
            </w:pPr>
            <w:r>
              <w:rPr>
                <w:rFonts w:hint="eastAsia"/>
                <w:b/>
                <w:bCs/>
                <w:sz w:val="24"/>
                <w:szCs w:val="24"/>
              </w:rPr>
              <w:t>审核人</w:t>
            </w:r>
          </w:p>
        </w:tc>
        <w:tc>
          <w:tcPr>
            <w:tcW w:w="1559" w:type="dxa"/>
            <w:vAlign w:val="center"/>
          </w:tcPr>
          <w:p>
            <w:pPr>
              <w:jc w:val="center"/>
              <w:rPr>
                <w:b/>
                <w:bCs/>
                <w:sz w:val="24"/>
                <w:szCs w:val="24"/>
              </w:rPr>
            </w:pPr>
            <w:r>
              <w:rPr>
                <w:rFonts w:hint="eastAsia"/>
                <w:b/>
                <w:bCs/>
                <w:sz w:val="24"/>
                <w:szCs w:val="24"/>
              </w:rPr>
              <w:t>发布日期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1277" w:type="dxa"/>
            <w:vAlign w:val="center"/>
          </w:tcPr>
          <w:p>
            <w:pPr>
              <w:jc w:val="center"/>
            </w:pPr>
            <w:r>
              <w:t>V1.0</w:t>
            </w:r>
          </w:p>
        </w:tc>
        <w:tc>
          <w:tcPr>
            <w:tcW w:w="3544" w:type="dxa"/>
            <w:vAlign w:val="center"/>
          </w:tcPr>
          <w:p>
            <w:r>
              <w:rPr>
                <w:rFonts w:hint="eastAsia"/>
              </w:rPr>
              <w:t>初始版本，内容包括陕西省应急管理厅专家管理信息系统各角色用户各项功能的使用介绍。</w:t>
            </w:r>
          </w:p>
        </w:tc>
        <w:tc>
          <w:tcPr>
            <w:tcW w:w="1417" w:type="dxa"/>
            <w:vAlign w:val="center"/>
          </w:tcPr>
          <w:p>
            <w:pPr>
              <w:jc w:val="center"/>
            </w:pPr>
            <w:r>
              <w:rPr>
                <w:rFonts w:hint="eastAsia"/>
              </w:rPr>
              <w:t>姜龙</w:t>
            </w:r>
          </w:p>
        </w:tc>
        <w:tc>
          <w:tcPr>
            <w:tcW w:w="1276" w:type="dxa"/>
            <w:vAlign w:val="center"/>
          </w:tcPr>
          <w:p>
            <w:pPr>
              <w:jc w:val="center"/>
            </w:pPr>
            <w:r>
              <w:rPr>
                <w:rFonts w:hint="eastAsia"/>
              </w:rPr>
              <w:t>王敏</w:t>
            </w:r>
          </w:p>
        </w:tc>
        <w:tc>
          <w:tcPr>
            <w:tcW w:w="1559" w:type="dxa"/>
            <w:vAlign w:val="center"/>
          </w:tcPr>
          <w:p>
            <w:pPr>
              <w:jc w:val="center"/>
            </w:pPr>
            <w:r>
              <w:rPr>
                <w:rFonts w:hint="eastAsia"/>
              </w:rPr>
              <w:t>2</w:t>
            </w:r>
            <w:r>
              <w:t>021</w:t>
            </w:r>
            <w:r>
              <w:rPr>
                <w:rFonts w:hint="eastAsia"/>
              </w:rPr>
              <w:t>/4/2</w:t>
            </w:r>
            <w:r>
              <w:t>0</w:t>
            </w:r>
          </w:p>
        </w:tc>
      </w:tr>
    </w:tbl>
    <w:p/>
    <w:p/>
    <w:p/>
    <w:p>
      <w:p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color w:val="auto"/>
          <w:kern w:val="2"/>
          <w:sz w:val="21"/>
          <w:szCs w:val="22"/>
          <w:lang w:val="zh-CN"/>
        </w:rPr>
        <w:id w:val="-1172867907"/>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48"/>
            <w:jc w:val="center"/>
            <w:rPr>
              <w:rFonts w:ascii="方正小标宋简体" w:eastAsia="方正小标宋简体"/>
              <w:b/>
              <w:bCs/>
              <w:color w:val="auto"/>
            </w:rPr>
          </w:pPr>
          <w:r>
            <w:rPr>
              <w:rFonts w:hint="eastAsia" w:ascii="方正小标宋简体" w:eastAsia="方正小标宋简体"/>
              <w:b/>
              <w:bCs/>
              <w:color w:val="auto"/>
              <w:lang w:val="zh-CN"/>
            </w:rPr>
            <w:t xml:space="preserve">目 </w:t>
          </w:r>
          <w:r>
            <w:rPr>
              <w:rFonts w:ascii="方正小标宋简体" w:eastAsia="方正小标宋简体"/>
              <w:b/>
              <w:bCs/>
              <w:color w:val="auto"/>
              <w:lang w:val="zh-CN"/>
            </w:rPr>
            <w:t xml:space="preserve"> </w:t>
          </w:r>
          <w:r>
            <w:rPr>
              <w:rFonts w:hint="eastAsia" w:ascii="方正小标宋简体" w:eastAsia="方正小标宋简体"/>
              <w:b/>
              <w:bCs/>
              <w:color w:val="auto"/>
              <w:lang w:val="zh-CN"/>
            </w:rPr>
            <w:t>录</w:t>
          </w:r>
        </w:p>
        <w:p>
          <w:pPr>
            <w:pStyle w:val="19"/>
            <w:tabs>
              <w:tab w:val="right" w:leader="dot" w:pos="8296"/>
            </w:tabs>
            <w:rPr>
              <w:rFonts w:asciiTheme="minorHAnsi" w:hAnsiTheme="minorHAnsi" w:eastAsiaTheme="minorEastAsia"/>
            </w:rPr>
          </w:pPr>
          <w:r>
            <w:fldChar w:fldCharType="begin"/>
          </w:r>
          <w:r>
            <w:instrText xml:space="preserve"> TOC \o "1-3" \h \z \u </w:instrText>
          </w:r>
          <w:r>
            <w:fldChar w:fldCharType="separate"/>
          </w:r>
          <w:r>
            <w:fldChar w:fldCharType="begin"/>
          </w:r>
          <w:r>
            <w:instrText xml:space="preserve"> HYPERLINK \l "_Toc72145194" </w:instrText>
          </w:r>
          <w:r>
            <w:fldChar w:fldCharType="separate"/>
          </w:r>
          <w:r>
            <w:rPr>
              <w:rStyle w:val="28"/>
            </w:rPr>
            <w:t>1、 概述</w:t>
          </w:r>
          <w:r>
            <w:tab/>
          </w:r>
          <w:r>
            <w:fldChar w:fldCharType="begin"/>
          </w:r>
          <w:r>
            <w:instrText xml:space="preserve"> PAGEREF _Toc72145194 \h </w:instrText>
          </w:r>
          <w:r>
            <w:fldChar w:fldCharType="separate"/>
          </w:r>
          <w:r>
            <w:t>1</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"_Toc72145195" </w:instrText>
          </w:r>
          <w:r>
            <w:fldChar w:fldCharType="separate"/>
          </w:r>
          <w:r>
            <w:rPr>
              <w:rStyle w:val="28"/>
            </w:rPr>
            <w:t>2、 角色及权限介绍</w:t>
          </w:r>
          <w:r>
            <w:tab/>
          </w:r>
          <w:r>
            <w:fldChar w:fldCharType="begin"/>
          </w:r>
          <w:r>
            <w:instrText xml:space="preserve"> PAGEREF _Toc72145195 \h </w:instrText>
          </w:r>
          <w:r>
            <w:fldChar w:fldCharType="separate"/>
          </w:r>
          <w:r>
            <w:t>1</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"_Toc72145196" </w:instrText>
          </w:r>
          <w:r>
            <w:fldChar w:fldCharType="separate"/>
          </w:r>
          <w:r>
            <w:rPr>
              <w:rStyle w:val="28"/>
            </w:rPr>
            <w:t>3、 主要功能操作说明</w:t>
          </w:r>
          <w:r>
            <w:tab/>
          </w:r>
          <w:r>
            <w:fldChar w:fldCharType="begin"/>
          </w:r>
          <w:r>
            <w:instrText xml:space="preserve"> PAGEREF _Toc72145196 \h </w:instrText>
          </w:r>
          <w:r>
            <w:fldChar w:fldCharType="separate"/>
          </w:r>
          <w:r>
            <w:t>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"_Toc72145197" </w:instrText>
          </w:r>
          <w:r>
            <w:fldChar w:fldCharType="separate"/>
          </w:r>
          <w:r>
            <w:rPr>
              <w:rStyle w:val="28"/>
            </w:rPr>
            <w:t>3.1、 省市县账号操作说明</w:t>
          </w:r>
          <w:r>
            <w:tab/>
          </w:r>
          <w:r>
            <w:fldChar w:fldCharType="begin"/>
          </w:r>
          <w:r>
            <w:instrText xml:space="preserve"> PAGEREF _Toc72145197 \h </w:instrText>
          </w:r>
          <w:r>
            <w:fldChar w:fldCharType="separate"/>
          </w:r>
          <w:r>
            <w:t>3</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"_Toc72145198" </w:instrText>
          </w:r>
          <w:r>
            <w:fldChar w:fldCharType="separate"/>
          </w:r>
          <w:r>
            <w:rPr>
              <w:rStyle w:val="28"/>
            </w:rPr>
            <w:t>3.1.1、 登录</w:t>
          </w:r>
          <w:r>
            <w:tab/>
          </w:r>
          <w:r>
            <w:fldChar w:fldCharType="begin"/>
          </w:r>
          <w:r>
            <w:instrText xml:space="preserve"> PAGEREF _Toc72145198 \h </w:instrText>
          </w:r>
          <w:r>
            <w:fldChar w:fldCharType="separate"/>
          </w:r>
          <w:r>
            <w:t>3</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"_Toc72145199" </w:instrText>
          </w:r>
          <w:r>
            <w:fldChar w:fldCharType="separate"/>
          </w:r>
          <w:r>
            <w:rPr>
              <w:rStyle w:val="28"/>
            </w:rPr>
            <w:t>3.1.2、 专家抽取</w:t>
          </w:r>
          <w:r>
            <w:tab/>
          </w:r>
          <w:r>
            <w:fldChar w:fldCharType="begin"/>
          </w:r>
          <w:r>
            <w:instrText xml:space="preserve"> PAGEREF _Toc72145199 \h </w:instrText>
          </w:r>
          <w:r>
            <w:fldChar w:fldCharType="separate"/>
          </w:r>
          <w:r>
            <w:t>5</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"_Toc72145200" </w:instrText>
          </w:r>
          <w:r>
            <w:fldChar w:fldCharType="separate"/>
          </w:r>
          <w:r>
            <w:rPr>
              <w:rStyle w:val="28"/>
            </w:rPr>
            <w:t>3.1.3、 专家信息导出</w:t>
          </w:r>
          <w:r>
            <w:tab/>
          </w:r>
          <w:r>
            <w:fldChar w:fldCharType="begin"/>
          </w:r>
          <w:r>
            <w:instrText xml:space="preserve"> PAGEREF _Toc72145200 \h </w:instrText>
          </w:r>
          <w:r>
            <w:fldChar w:fldCharType="separate"/>
          </w:r>
          <w:r>
            <w:t>7</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"_Toc72145201" </w:instrText>
          </w:r>
          <w:r>
            <w:fldChar w:fldCharType="separate"/>
          </w:r>
          <w:r>
            <w:rPr>
              <w:rStyle w:val="28"/>
            </w:rPr>
            <w:t>3.1.4、 活动查看</w:t>
          </w:r>
          <w:r>
            <w:tab/>
          </w:r>
          <w:r>
            <w:fldChar w:fldCharType="begin"/>
          </w:r>
          <w:r>
            <w:instrText xml:space="preserve"> PAGEREF _Toc72145201 \h </w:instrText>
          </w:r>
          <w:r>
            <w:fldChar w:fldCharType="separate"/>
          </w:r>
          <w:r>
            <w:t>7</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"_Toc72145202" </w:instrText>
          </w:r>
          <w:r>
            <w:fldChar w:fldCharType="separate"/>
          </w:r>
          <w:r>
            <w:rPr>
              <w:rStyle w:val="28"/>
            </w:rPr>
            <w:t>3.2、 专家账号操作说明</w:t>
          </w:r>
          <w:r>
            <w:tab/>
          </w:r>
          <w:r>
            <w:fldChar w:fldCharType="begin"/>
          </w:r>
          <w:r>
            <w:instrText xml:space="preserve"> PAGEREF _Toc72145202 \h </w:instrText>
          </w:r>
          <w:r>
            <w:fldChar w:fldCharType="separate"/>
          </w:r>
          <w:r>
            <w:t>8</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"_Toc72145203" </w:instrText>
          </w:r>
          <w:r>
            <w:fldChar w:fldCharType="separate"/>
          </w:r>
          <w:r>
            <w:rPr>
              <w:rStyle w:val="28"/>
            </w:rPr>
            <w:t>3.2.1、 账号注册</w:t>
          </w:r>
          <w:r>
            <w:tab/>
          </w:r>
          <w:r>
            <w:fldChar w:fldCharType="begin"/>
          </w:r>
          <w:r>
            <w:instrText xml:space="preserve"> PAGEREF _Toc72145203 \h </w:instrText>
          </w:r>
          <w:r>
            <w:fldChar w:fldCharType="separate"/>
          </w:r>
          <w:r>
            <w:t>8</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"_Toc72145204" </w:instrText>
          </w:r>
          <w:r>
            <w:fldChar w:fldCharType="separate"/>
          </w:r>
          <w:r>
            <w:rPr>
              <w:rStyle w:val="28"/>
            </w:rPr>
            <w:t>3.2.2、 专家资格申请</w:t>
          </w:r>
          <w:r>
            <w:tab/>
          </w:r>
          <w:r>
            <w:fldChar w:fldCharType="begin"/>
          </w:r>
          <w:r>
            <w:instrText xml:space="preserve"> PAGEREF _Toc72145204 \h </w:instrText>
          </w:r>
          <w:r>
            <w:fldChar w:fldCharType="separate"/>
          </w:r>
          <w:r>
            <w:t>9</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"_Toc72145205" </w:instrText>
          </w:r>
          <w:r>
            <w:fldChar w:fldCharType="separate"/>
          </w:r>
          <w:r>
            <w:rPr>
              <w:rStyle w:val="28"/>
            </w:rPr>
            <w:t>3.2.3、 信息修改</w:t>
          </w:r>
          <w:r>
            <w:tab/>
          </w:r>
          <w:r>
            <w:fldChar w:fldCharType="begin"/>
          </w:r>
          <w:r>
            <w:instrText xml:space="preserve"> PAGEREF _Toc72145205 \h </w:instrText>
          </w:r>
          <w:r>
            <w:fldChar w:fldCharType="separate"/>
          </w:r>
          <w:r>
            <w:t>9</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"_Toc72145206" </w:instrText>
          </w:r>
          <w:r>
            <w:fldChar w:fldCharType="separate"/>
          </w:r>
          <w:r>
            <w:rPr>
              <w:rStyle w:val="28"/>
            </w:rPr>
            <w:t>3.2.4、 历史申请查看</w:t>
          </w:r>
          <w:r>
            <w:tab/>
          </w:r>
          <w:r>
            <w:fldChar w:fldCharType="begin"/>
          </w:r>
          <w:r>
            <w:instrText xml:space="preserve"> PAGEREF _Toc72145206 \h </w:instrText>
          </w:r>
          <w:r>
            <w:fldChar w:fldCharType="separate"/>
          </w:r>
          <w:r>
            <w:t>10</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"_Toc72145207" </w:instrText>
          </w:r>
          <w:r>
            <w:fldChar w:fldCharType="separate"/>
          </w:r>
          <w:r>
            <w:rPr>
              <w:rStyle w:val="28"/>
            </w:rPr>
            <w:t>3.2.5、 活动信息登记</w:t>
          </w:r>
          <w:r>
            <w:tab/>
          </w:r>
          <w:r>
            <w:fldChar w:fldCharType="begin"/>
          </w:r>
          <w:r>
            <w:instrText xml:space="preserve"> PAGEREF _Toc72145207 \h </w:instrText>
          </w:r>
          <w:r>
            <w:fldChar w:fldCharType="separate"/>
          </w:r>
          <w:r>
            <w:t>10</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"_Toc72145208" </w:instrText>
          </w:r>
          <w:r>
            <w:fldChar w:fldCharType="separate"/>
          </w:r>
          <w:r>
            <w:rPr>
              <w:rStyle w:val="28"/>
            </w:rPr>
            <w:t>3.2.6、 通知公告查看</w:t>
          </w:r>
          <w:r>
            <w:tab/>
          </w:r>
          <w:r>
            <w:fldChar w:fldCharType="begin"/>
          </w:r>
          <w:r>
            <w:instrText xml:space="preserve"> PAGEREF _Toc72145208 \h </w:instrText>
          </w:r>
          <w:r>
            <w:fldChar w:fldCharType="separate"/>
          </w:r>
          <w:r>
            <w:t>11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"_Toc72145209" </w:instrText>
          </w:r>
          <w:r>
            <w:fldChar w:fldCharType="separate"/>
          </w:r>
          <w:r>
            <w:rPr>
              <w:rStyle w:val="28"/>
            </w:rPr>
            <w:t>3.3、 审批账号操作说明</w:t>
          </w:r>
          <w:r>
            <w:tab/>
          </w:r>
          <w:r>
            <w:fldChar w:fldCharType="begin"/>
          </w:r>
          <w:r>
            <w:instrText xml:space="preserve"> PAGEREF _Toc72145209 \h </w:instrText>
          </w:r>
          <w:r>
            <w:fldChar w:fldCharType="separate"/>
          </w:r>
          <w:r>
            <w:t>11</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"_Toc72145210" </w:instrText>
          </w:r>
          <w:r>
            <w:fldChar w:fldCharType="separate"/>
          </w:r>
          <w:r>
            <w:rPr>
              <w:rStyle w:val="28"/>
            </w:rPr>
            <w:t>3.3.1、 信息审批</w:t>
          </w:r>
          <w:r>
            <w:tab/>
          </w:r>
          <w:r>
            <w:fldChar w:fldCharType="begin"/>
          </w:r>
          <w:r>
            <w:instrText xml:space="preserve"> PAGEREF _Toc72145210 \h </w:instrText>
          </w:r>
          <w:r>
            <w:fldChar w:fldCharType="separate"/>
          </w:r>
          <w:r>
            <w:t>11</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"_Toc72145211" </w:instrText>
          </w:r>
          <w:r>
            <w:fldChar w:fldCharType="separate"/>
          </w:r>
          <w:r>
            <w:rPr>
              <w:rStyle w:val="28"/>
            </w:rPr>
            <w:t>3.3.2、 已审批内容查看</w:t>
          </w:r>
          <w:r>
            <w:tab/>
          </w:r>
          <w:r>
            <w:fldChar w:fldCharType="begin"/>
          </w:r>
          <w:r>
            <w:instrText xml:space="preserve"> PAGEREF _Toc72145211 \h </w:instrText>
          </w:r>
          <w:r>
            <w:fldChar w:fldCharType="separate"/>
          </w:r>
          <w:r>
            <w:t>12</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"_Toc72145212" </w:instrText>
          </w:r>
          <w:r>
            <w:fldChar w:fldCharType="separate"/>
          </w:r>
          <w:r>
            <w:rPr>
              <w:rStyle w:val="28"/>
            </w:rPr>
            <w:t>3.3.3、 审批配置查看</w:t>
          </w:r>
          <w:r>
            <w:tab/>
          </w:r>
          <w:r>
            <w:fldChar w:fldCharType="begin"/>
          </w:r>
          <w:r>
            <w:instrText xml:space="preserve"> PAGEREF _Toc72145212 \h </w:instrText>
          </w:r>
          <w:r>
            <w:fldChar w:fldCharType="separate"/>
          </w:r>
          <w:r>
            <w:t>12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"_Toc72145213" </w:instrText>
          </w:r>
          <w:r>
            <w:fldChar w:fldCharType="separate"/>
          </w:r>
          <w:r>
            <w:rPr>
              <w:rStyle w:val="28"/>
            </w:rPr>
            <w:t>3.4、 运维账号操作说明</w:t>
          </w:r>
          <w:r>
            <w:tab/>
          </w:r>
          <w:r>
            <w:fldChar w:fldCharType="begin"/>
          </w:r>
          <w:r>
            <w:instrText xml:space="preserve"> PAGEREF _Toc72145213 \h </w:instrText>
          </w:r>
          <w:r>
            <w:fldChar w:fldCharType="separate"/>
          </w:r>
          <w:r>
            <w:t>13</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"_Toc72145214" </w:instrText>
          </w:r>
          <w:r>
            <w:fldChar w:fldCharType="separate"/>
          </w:r>
          <w:r>
            <w:rPr>
              <w:rStyle w:val="28"/>
            </w:rPr>
            <w:t>3.4.1、 账号管理</w:t>
          </w:r>
          <w:r>
            <w:tab/>
          </w:r>
          <w:r>
            <w:fldChar w:fldCharType="begin"/>
          </w:r>
          <w:r>
            <w:instrText xml:space="preserve"> PAGEREF _Toc72145214 \h </w:instrText>
          </w:r>
          <w:r>
            <w:fldChar w:fldCharType="separate"/>
          </w:r>
          <w:r>
            <w:t>13</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"_Toc72145215" </w:instrText>
          </w:r>
          <w:r>
            <w:fldChar w:fldCharType="separate"/>
          </w:r>
          <w:r>
            <w:rPr>
              <w:rStyle w:val="28"/>
            </w:rPr>
            <w:t>3.4.2、 日志管理</w:t>
          </w:r>
          <w:r>
            <w:tab/>
          </w:r>
          <w:r>
            <w:fldChar w:fldCharType="begin"/>
          </w:r>
          <w:r>
            <w:instrText xml:space="preserve"> PAGEREF _Toc72145215 \h </w:instrText>
          </w:r>
          <w:r>
            <w:fldChar w:fldCharType="separate"/>
          </w:r>
          <w:r>
            <w:t>14</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"_Toc72145216" </w:instrText>
          </w:r>
          <w:r>
            <w:fldChar w:fldCharType="separate"/>
          </w:r>
          <w:r>
            <w:rPr>
              <w:rStyle w:val="28"/>
            </w:rPr>
            <w:t>3.4.3、 活动查看</w:t>
          </w:r>
          <w:r>
            <w:tab/>
          </w:r>
          <w:r>
            <w:fldChar w:fldCharType="begin"/>
          </w:r>
          <w:r>
            <w:instrText xml:space="preserve"> PAGEREF _Toc72145216 \h </w:instrText>
          </w:r>
          <w:r>
            <w:fldChar w:fldCharType="separate"/>
          </w:r>
          <w:r>
            <w:t>15</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"_Toc72145217" </w:instrText>
          </w:r>
          <w:r>
            <w:fldChar w:fldCharType="separate"/>
          </w:r>
          <w:r>
            <w:rPr>
              <w:rStyle w:val="28"/>
            </w:rPr>
            <w:t>3.5、 超级管理员操作说明</w:t>
          </w:r>
          <w:r>
            <w:tab/>
          </w:r>
          <w:r>
            <w:fldChar w:fldCharType="begin"/>
          </w:r>
          <w:r>
            <w:instrText xml:space="preserve"> PAGEREF _Toc72145217 \h </w:instrText>
          </w:r>
          <w:r>
            <w:fldChar w:fldCharType="separate"/>
          </w:r>
          <w:r>
            <w:t>16</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"_Toc72145218" </w:instrText>
          </w:r>
          <w:r>
            <w:fldChar w:fldCharType="separate"/>
          </w:r>
          <w:r>
            <w:rPr>
              <w:rStyle w:val="28"/>
            </w:rPr>
            <w:t>3.5.1、 专家抽取</w:t>
          </w:r>
          <w:r>
            <w:tab/>
          </w:r>
          <w:r>
            <w:fldChar w:fldCharType="begin"/>
          </w:r>
          <w:r>
            <w:instrText xml:space="preserve"> PAGEREF _Toc72145218 \h </w:instrText>
          </w:r>
          <w:r>
            <w:fldChar w:fldCharType="separate"/>
          </w:r>
          <w:r>
            <w:t>16</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"_Toc72145219" </w:instrText>
          </w:r>
          <w:r>
            <w:fldChar w:fldCharType="separate"/>
          </w:r>
          <w:r>
            <w:rPr>
              <w:rStyle w:val="28"/>
            </w:rPr>
            <w:t>3.5.2、 活动查看</w:t>
          </w:r>
          <w:r>
            <w:tab/>
          </w:r>
          <w:r>
            <w:fldChar w:fldCharType="begin"/>
          </w:r>
          <w:r>
            <w:instrText xml:space="preserve"> PAGEREF _Toc72145219 \h </w:instrText>
          </w:r>
          <w:r>
            <w:fldChar w:fldCharType="separate"/>
          </w:r>
          <w:r>
            <w:t>16</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"_Toc72145220" </w:instrText>
          </w:r>
          <w:r>
            <w:fldChar w:fldCharType="separate"/>
          </w:r>
          <w:r>
            <w:rPr>
              <w:rStyle w:val="28"/>
            </w:rPr>
            <w:t>3.5.3、 账号管理</w:t>
          </w:r>
          <w:r>
            <w:tab/>
          </w:r>
          <w:r>
            <w:fldChar w:fldCharType="begin"/>
          </w:r>
          <w:r>
            <w:instrText xml:space="preserve"> PAGEREF _Toc72145220 \h </w:instrText>
          </w:r>
          <w:r>
            <w:fldChar w:fldCharType="separate"/>
          </w:r>
          <w:r>
            <w:t>16</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"_Toc72145221" </w:instrText>
          </w:r>
          <w:r>
            <w:fldChar w:fldCharType="separate"/>
          </w:r>
          <w:r>
            <w:rPr>
              <w:rStyle w:val="28"/>
            </w:rPr>
            <w:t>3.5.4、 专业组管理</w:t>
          </w:r>
          <w:r>
            <w:tab/>
          </w:r>
          <w:r>
            <w:fldChar w:fldCharType="begin"/>
          </w:r>
          <w:r>
            <w:instrText xml:space="preserve"> PAGEREF _Toc72145221 \h </w:instrText>
          </w:r>
          <w:r>
            <w:fldChar w:fldCharType="separate"/>
          </w:r>
          <w:r>
            <w:t>16</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"_Toc72145222" </w:instrText>
          </w:r>
          <w:r>
            <w:fldChar w:fldCharType="separate"/>
          </w:r>
          <w:r>
            <w:rPr>
              <w:rStyle w:val="28"/>
            </w:rPr>
            <w:t>3.5.5、 专家管理</w:t>
          </w:r>
          <w:r>
            <w:tab/>
          </w:r>
          <w:r>
            <w:fldChar w:fldCharType="begin"/>
          </w:r>
          <w:r>
            <w:instrText xml:space="preserve"> PAGEREF _Toc72145222 \h </w:instrText>
          </w:r>
          <w:r>
            <w:fldChar w:fldCharType="separate"/>
          </w:r>
          <w:r>
            <w:t>17</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"_Toc72145223" </w:instrText>
          </w:r>
          <w:r>
            <w:fldChar w:fldCharType="separate"/>
          </w:r>
          <w:r>
            <w:rPr>
              <w:rStyle w:val="28"/>
            </w:rPr>
            <w:t>3.5.6、 审批管理</w:t>
          </w:r>
          <w:r>
            <w:tab/>
          </w:r>
          <w:r>
            <w:fldChar w:fldCharType="begin"/>
          </w:r>
          <w:r>
            <w:instrText xml:space="preserve"> PAGEREF _Toc72145223 \h </w:instrText>
          </w:r>
          <w:r>
            <w:fldChar w:fldCharType="separate"/>
          </w:r>
          <w:r>
            <w:t>18</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"_Toc72145224" </w:instrText>
          </w:r>
          <w:r>
            <w:fldChar w:fldCharType="separate"/>
          </w:r>
          <w:r>
            <w:rPr>
              <w:rStyle w:val="28"/>
            </w:rPr>
            <w:t>3.5.7、 发布通知</w:t>
          </w:r>
          <w:r>
            <w:tab/>
          </w:r>
          <w:r>
            <w:fldChar w:fldCharType="begin"/>
          </w:r>
          <w:r>
            <w:instrText xml:space="preserve"> PAGEREF _Toc72145224 \h </w:instrText>
          </w:r>
          <w:r>
            <w:fldChar w:fldCharType="separate"/>
          </w:r>
          <w:r>
            <w:t>18</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"_Toc72145225" </w:instrText>
          </w:r>
          <w:r>
            <w:fldChar w:fldCharType="separate"/>
          </w:r>
          <w:r>
            <w:rPr>
              <w:rStyle w:val="28"/>
            </w:rPr>
            <w:t>3.5.8、 日志管理</w:t>
          </w:r>
          <w:r>
            <w:tab/>
          </w:r>
          <w:r>
            <w:fldChar w:fldCharType="begin"/>
          </w:r>
          <w:r>
            <w:instrText xml:space="preserve"> PAGEREF _Toc72145225 \h </w:instrText>
          </w:r>
          <w:r>
            <w:fldChar w:fldCharType="separate"/>
          </w:r>
          <w:r>
            <w:t>19</w:t>
          </w:r>
          <w:r>
            <w:fldChar w:fldCharType="end"/>
          </w:r>
          <w:r>
            <w:fldChar w:fldCharType="end"/>
          </w:r>
        </w:p>
        <w:p>
          <w:pPr>
            <w:pStyle w:val="13"/>
            <w:tabs>
              <w:tab w:val="right" w:leader="dot" w:pos="8296"/>
            </w:tabs>
            <w:rPr>
              <w:rFonts w:asciiTheme="minorHAnsi" w:hAnsiTheme="minorHAnsi" w:eastAsiaTheme="minorEastAsia"/>
            </w:rPr>
          </w:pPr>
          <w:r>
            <w:fldChar w:fldCharType="begin"/>
          </w:r>
          <w:r>
            <w:instrText xml:space="preserve"> HYPERLINK \l "_Toc72145226" </w:instrText>
          </w:r>
          <w:r>
            <w:fldChar w:fldCharType="separate"/>
          </w:r>
          <w:r>
            <w:rPr>
              <w:rStyle w:val="28"/>
            </w:rPr>
            <w:t>3.5.9、 系统设置</w:t>
          </w:r>
          <w:r>
            <w:tab/>
          </w:r>
          <w:r>
            <w:fldChar w:fldCharType="begin"/>
          </w:r>
          <w:r>
            <w:instrText xml:space="preserve"> PAGEREF _Toc72145226 \h </w:instrText>
          </w:r>
          <w:r>
            <w:fldChar w:fldCharType="separate"/>
          </w:r>
          <w:r>
            <w:t>19</w:t>
          </w:r>
          <w:r>
            <w:fldChar w:fldCharType="end"/>
          </w:r>
          <w:r>
            <w:fldChar w:fldCharType="end"/>
          </w:r>
        </w:p>
        <w:p>
          <w:r>
            <w:rPr>
              <w:b/>
              <w:bCs/>
            </w:rPr>
            <w:fldChar w:fldCharType="end"/>
          </w:r>
        </w:p>
      </w:sdtContent>
    </w:sdt>
    <w:p/>
    <w:p/>
    <w:p>
      <w:pPr>
        <w:sectPr>
          <w:footerReference r:id="rId4" w:type="default"/>
          <w:pgSz w:w="11906" w:h="16838"/>
          <w:pgMar w:top="1440" w:right="1800" w:bottom="1440" w:left="1800" w:header="851" w:footer="992" w:gutter="0"/>
          <w:pgNumType w:fmt="upperRoman" w:start="1"/>
          <w:cols w:space="425" w:num="1"/>
          <w:docGrid w:type="lines" w:linePitch="312" w:charSpace="0"/>
        </w:sectPr>
      </w:pPr>
    </w:p>
    <w:p>
      <w:pPr>
        <w:pStyle w:val="2"/>
        <w:rPr>
          <w:sz w:val="32"/>
          <w:szCs w:val="32"/>
        </w:rPr>
      </w:pPr>
      <w:bookmarkStart w:id="0" w:name="_Toc72145194"/>
      <w:r>
        <w:rPr>
          <w:rFonts w:hint="eastAsia"/>
          <w:sz w:val="32"/>
          <w:szCs w:val="32"/>
        </w:rPr>
        <w:t>概述</w:t>
      </w:r>
      <w:bookmarkEnd w:id="0"/>
    </w:p>
    <w:p>
      <w:pPr>
        <w:pStyle w:val="38"/>
        <w:ind w:firstLine="480"/>
      </w:pPr>
      <w:r>
        <w:rPr>
          <w:rFonts w:hint="eastAsia"/>
        </w:rPr>
        <w:t>陕西省应急管理厅专家管理信息系统主要用于省厅聘请专家资料信息的电子化管理，以便陕西省应急管理厅以及各市县（区）应急管理局在活动开展前更高效的查询专家信息、短信预约专家以及查看专家参加活动后的反馈信息。</w:t>
      </w:r>
    </w:p>
    <w:p>
      <w:pPr>
        <w:pStyle w:val="38"/>
        <w:ind w:firstLine="480"/>
      </w:pPr>
      <w:r>
        <w:rPr>
          <w:rFonts w:hint="eastAsia"/>
        </w:rPr>
        <w:t>目前专家管理信息系统（以下简称“系统”）具备专家信息管理、活动查看、账号管理、专业组管理、专家管理、审批管理、发布通知、日志管理、系统管理等</w:t>
      </w:r>
      <w:r>
        <w:t>9</w:t>
      </w:r>
      <w:r>
        <w:rPr>
          <w:rFonts w:hint="eastAsia"/>
        </w:rPr>
        <w:t>大功能，各功能又细化为不同数量的子功能。系统还与省综合应用平台完成了对接，将系统入口部署于综合应用平台，实现了统一登录功能。</w:t>
      </w:r>
    </w:p>
    <w:p>
      <w:pPr>
        <w:pStyle w:val="2"/>
        <w:rPr>
          <w:sz w:val="32"/>
          <w:szCs w:val="32"/>
        </w:rPr>
      </w:pPr>
      <w:bookmarkStart w:id="1" w:name="_Toc72145195"/>
      <w:r>
        <w:rPr>
          <w:rFonts w:hint="eastAsia"/>
          <w:sz w:val="32"/>
          <w:szCs w:val="32"/>
        </w:rPr>
        <w:t>角色及权限介绍</w:t>
      </w:r>
      <w:bookmarkEnd w:id="1"/>
    </w:p>
    <w:p>
      <w:pPr>
        <w:pStyle w:val="38"/>
        <w:ind w:firstLine="480"/>
      </w:pPr>
      <w:r>
        <w:rPr>
          <w:rFonts w:hint="eastAsia"/>
        </w:rPr>
        <w:t>专家管理信息系统目前分为专家、省级、市级、县级、普通、审批、超级管理员、运维管理员等8类角色，各角色对应的账号全部从综合应用平台登录。</w:t>
      </w:r>
    </w:p>
    <w:p>
      <w:pPr>
        <w:pStyle w:val="38"/>
        <w:ind w:firstLine="480"/>
      </w:pPr>
      <w:r>
        <w:rPr>
          <w:rFonts w:hint="eastAsia"/>
        </w:rPr>
        <w:t>根据角色的职责不同，各角色登录系统后可进行的操作亦存在区别，具体说明如下：</w:t>
      </w:r>
    </w:p>
    <w:p>
      <w:pPr>
        <w:pStyle w:val="38"/>
        <w:ind w:firstLine="480"/>
      </w:pPr>
      <w:r>
        <w:rPr>
          <w:rFonts w:hint="eastAsia"/>
        </w:rPr>
        <w:t>（1）超级管理员</w:t>
      </w:r>
    </w:p>
    <w:p>
      <w:pPr>
        <w:pStyle w:val="38"/>
        <w:ind w:firstLine="480"/>
      </w:pPr>
      <w:r>
        <w:rPr>
          <w:rFonts w:hint="eastAsia"/>
        </w:rPr>
        <w:t>用于系统维护和专家信息更新；专家信息审批和发布；通知信息发布。</w:t>
      </w:r>
    </w:p>
    <w:p>
      <w:pPr>
        <w:pStyle w:val="3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（2）省级账号</w:t>
      </w:r>
    </w:p>
    <w:p>
      <w:pPr>
        <w:pStyle w:val="3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省厅全部人员可以使用，并且可以多人同账号同时登录查询所有高级别专家和专家库专家信息、选择专家并导出已选择专家的基本信息。</w:t>
      </w:r>
    </w:p>
    <w:p>
      <w:pPr>
        <w:pStyle w:val="3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（3）市级账号</w:t>
      </w:r>
    </w:p>
    <w:p>
      <w:pPr>
        <w:pStyle w:val="3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各市（区）应急管理局的全部人员可以使用，并且可以多人同账号同时登录查询所有专家库专家信息、选择专家并导出已选择专家的基本信息。</w:t>
      </w:r>
    </w:p>
    <w:p>
      <w:pPr>
        <w:pStyle w:val="3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）县级账号</w:t>
      </w:r>
      <w:bookmarkStart w:id="33" w:name="_GoBack"/>
      <w:bookmarkEnd w:id="33"/>
    </w:p>
    <w:p>
      <w:pPr>
        <w:pStyle w:val="38"/>
        <w:ind w:firstLine="480"/>
        <w:rPr>
          <w:color w:val="C00000"/>
        </w:rPr>
      </w:pPr>
      <w:r>
        <w:rPr>
          <w:rFonts w:hint="eastAsia"/>
          <w:color w:val="000000" w:themeColor="text1"/>
          <w14:textFill>
            <w14:solidFill>
              <w14:schemeClr w14:val="tx1"/>
            </w14:solidFill>
          </w14:textFill>
        </w:rPr>
        <w:t>各县应急管理局的全部人员可以使用，并且可以多人同账号同时登录查询所有专家库专家信息、选择专家并导出已选择专家的基本信息</w:t>
      </w:r>
      <w:r>
        <w:rPr>
          <w:rFonts w:hint="eastAsia"/>
          <w:color w:val="C00000"/>
        </w:rPr>
        <w:t>。</w:t>
      </w:r>
    </w:p>
    <w:p>
      <w:pPr>
        <w:pStyle w:val="38"/>
        <w:ind w:firstLine="480"/>
      </w:pPr>
      <w:r>
        <w:rPr>
          <w:rFonts w:hint="eastAsia"/>
        </w:rPr>
        <w:t>（</w:t>
      </w:r>
      <w:r>
        <w:t>5</w:t>
      </w:r>
      <w:r>
        <w:rPr>
          <w:rFonts w:hint="eastAsia"/>
        </w:rPr>
        <w:t>）运维管理员</w:t>
      </w:r>
    </w:p>
    <w:p>
      <w:pPr>
        <w:pStyle w:val="38"/>
        <w:ind w:firstLine="480"/>
      </w:pPr>
      <w:r>
        <w:rPr>
          <w:rFonts w:hint="eastAsia"/>
        </w:rPr>
        <w:t>用于系统维护和专家信息录入申请；专家信息审批。</w:t>
      </w:r>
    </w:p>
    <w:p>
      <w:pPr>
        <w:pStyle w:val="38"/>
        <w:ind w:firstLine="480"/>
      </w:pPr>
      <w:r>
        <w:rPr>
          <w:rFonts w:hint="eastAsia"/>
        </w:rPr>
        <w:t>（</w:t>
      </w:r>
      <w:r>
        <w:t>6</w:t>
      </w:r>
      <w:r>
        <w:rPr>
          <w:rFonts w:hint="eastAsia"/>
        </w:rPr>
        <w:t>）专家账号</w:t>
      </w:r>
    </w:p>
    <w:p>
      <w:pPr>
        <w:pStyle w:val="38"/>
        <w:ind w:firstLine="480"/>
      </w:pPr>
      <w:r>
        <w:rPr>
          <w:rFonts w:hint="eastAsia"/>
        </w:rPr>
        <w:t>每个专家一个账号</w:t>
      </w:r>
      <w:r>
        <w:rPr>
          <w:rFonts w:hint="eastAsia"/>
          <w:color w:val="000000" w:themeColor="text1"/>
          <w14:textFill>
            <w14:solidFill>
              <w14:schemeClr w14:val="tx1"/>
            </w14:solidFill>
          </w14:textFill>
        </w:rPr>
        <w:t>，用户名为手机号</w:t>
      </w:r>
      <w:r>
        <w:rPr>
          <w:rFonts w:hint="eastAsia"/>
        </w:rPr>
        <w:t>。初始专家账号，由运维人员新建账号。有新增专家时，通过“专家账号注册”功能使用自己的手机号进行注册，注册成功后使用该账号登录，发起专家信息填充和申请。</w:t>
      </w:r>
    </w:p>
    <w:p>
      <w:pPr>
        <w:pStyle w:val="38"/>
        <w:ind w:firstLine="480"/>
      </w:pPr>
      <w:r>
        <w:rPr>
          <w:rFonts w:hint="eastAsia"/>
        </w:rPr>
        <w:t>专家申请审批流程，首先递交所属专业组归属的处室内进行审批（同一处室内也会根据处室内审批级别高低，从低至高逐级审批），</w:t>
      </w:r>
      <w:r>
        <w:rPr>
          <w:rFonts w:hint="eastAsia"/>
          <w:color w:val="000000" w:themeColor="text1"/>
          <w14:textFill>
            <w14:solidFill>
              <w14:schemeClr w14:val="tx1"/>
            </w14:solidFill>
          </w14:textFill>
        </w:rPr>
        <w:t>审批通过后，由超级管理员确认，打印审批信息，领导签字后作为附件上传，进行信息发布。</w:t>
      </w:r>
    </w:p>
    <w:p>
      <w:pPr>
        <w:pStyle w:val="38"/>
        <w:ind w:firstLine="480"/>
      </w:pPr>
      <w:r>
        <w:rPr>
          <w:rFonts w:hint="eastAsia"/>
        </w:rPr>
        <w:t>专家账号只能查看修改自己的基础信息。发起专家申请，并查询申请记录。</w:t>
      </w:r>
    </w:p>
    <w:p>
      <w:pPr>
        <w:pStyle w:val="38"/>
        <w:ind w:firstLine="480"/>
      </w:pPr>
      <w:r>
        <w:rPr>
          <w:rFonts w:hint="eastAsia"/>
        </w:rPr>
        <w:t>专家账号登录后，在通知栏可以查看通知公告。</w:t>
      </w:r>
    </w:p>
    <w:p>
      <w:pPr>
        <w:pStyle w:val="38"/>
        <w:ind w:firstLine="480"/>
      </w:pPr>
      <w:r>
        <w:rPr>
          <w:rFonts w:hint="eastAsia"/>
        </w:rPr>
        <w:t>（</w:t>
      </w:r>
      <w:r>
        <w:t>7</w:t>
      </w:r>
      <w:r>
        <w:rPr>
          <w:rFonts w:hint="eastAsia"/>
        </w:rPr>
        <w:t>）审批账号</w:t>
      </w:r>
    </w:p>
    <w:p>
      <w:pPr>
        <w:pStyle w:val="38"/>
        <w:ind w:firstLine="480"/>
      </w:pPr>
      <w:r>
        <w:rPr>
          <w:rFonts w:hint="eastAsia"/>
        </w:rPr>
        <w:t>各处室审批员登录后，只能查看审批信息、并进行审批。目前已将18个处室内置成审批账号，18个处室如下：</w:t>
      </w:r>
    </w:p>
    <w:p>
      <w:pPr>
        <w:pStyle w:val="38"/>
        <w:ind w:firstLine="480"/>
      </w:pPr>
      <w:r>
        <w:rPr>
          <w:rFonts w:hint="eastAsia"/>
        </w:rPr>
        <w:t>煤矿安全监督管理处、煤矿灾害防治指导处、危险化学品安全监管处、工矿商贸安全监督管理处、防汛抗旱处、火灾防治管理处、地震和地质灾害救援处、风险监测和综合减灾处、应急指挥中心、救援协调和预案管理局、规划财务处、政策法规处、安全生产执法局、调查评估和统计处、安全生产综合协调处、教育培训处、新闻宣传处、科技和信息化处。</w:t>
      </w:r>
    </w:p>
    <w:p>
      <w:pPr>
        <w:pStyle w:val="38"/>
        <w:ind w:firstLine="480"/>
      </w:pPr>
    </w:p>
    <w:p>
      <w:pPr>
        <w:pStyle w:val="38"/>
        <w:ind w:firstLine="480"/>
        <w:sectPr>
          <w:footerReference r:id="rId5" w:type="default"/>
          <w:pgSz w:w="11906" w:h="16838"/>
          <w:pgMar w:top="1440" w:right="1800" w:bottom="1440" w:left="1800" w:header="851" w:footer="992" w:gutter="0"/>
          <w:pgNumType w:start="1"/>
          <w:cols w:space="425" w:num="1"/>
          <w:docGrid w:type="lines" w:linePitch="312" w:charSpace="0"/>
        </w:sectPr>
      </w:pPr>
    </w:p>
    <w:p>
      <w:pPr>
        <w:pStyle w:val="2"/>
        <w:rPr>
          <w:sz w:val="32"/>
          <w:szCs w:val="32"/>
        </w:rPr>
      </w:pPr>
      <w:bookmarkStart w:id="2" w:name="_Toc72145196"/>
      <w:r>
        <w:rPr>
          <w:rFonts w:hint="eastAsia"/>
          <w:sz w:val="32"/>
          <w:szCs w:val="32"/>
        </w:rPr>
        <w:t>主要功能操作说明</w:t>
      </w:r>
      <w:bookmarkEnd w:id="2"/>
    </w:p>
    <w:p>
      <w:pPr>
        <w:pStyle w:val="3"/>
      </w:pPr>
      <w:bookmarkStart w:id="3" w:name="_Toc72145197"/>
      <w:r>
        <w:rPr>
          <w:rFonts w:hint="eastAsia"/>
        </w:rPr>
        <w:t>省市县账号操作说明</w:t>
      </w:r>
      <w:bookmarkEnd w:id="3"/>
    </w:p>
    <w:p>
      <w:pPr>
        <w:pStyle w:val="4"/>
      </w:pPr>
      <w:bookmarkStart w:id="4" w:name="_Toc72145198"/>
      <w:r>
        <w:rPr>
          <w:rFonts w:hint="eastAsia"/>
        </w:rPr>
        <w:t>登录</w:t>
      </w:r>
      <w:bookmarkEnd w:id="4"/>
    </w:p>
    <w:p>
      <w:pPr>
        <w:pStyle w:val="38"/>
        <w:ind w:firstLine="480"/>
      </w:pPr>
      <w:r>
        <w:rPr>
          <w:rFonts w:hint="eastAsia"/>
        </w:rPr>
        <w:t>登录陕西省应急管理厅官网</w:t>
      </w:r>
      <w:r>
        <w:t>http://yjt.shannxi.gov.cn（图1</w:t>
      </w:r>
      <w:r>
        <w:rPr>
          <w:rFonts w:hint="eastAsia"/>
        </w:rPr>
        <w:t>），点击【综合应用平台】标签进入陕西省应急管理综合应用平台登录页面（图2），具体如下图所示：</w:t>
      </w:r>
    </w:p>
    <w:p>
      <w:pPr>
        <w:jc w:val="center"/>
      </w:pPr>
      <w:r>
        <w:drawing>
          <wp:inline distT="0" distB="0" distL="0" distR="0">
            <wp:extent cx="5245100" cy="27355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45200" cy="2736000"/>
                    </a:xfrm>
                    <a:prstGeom prst="rect">
                      <a:avLst/>
                    </a:prstGeom>
                  </pic:spPr>
                </pic:pic>
              </a:graphicData>
            </a:graphic>
          </wp:inline>
        </w:drawing>
      </w:r>
    </w:p>
    <w:p>
      <w:pPr>
        <w:pStyle w:val="44"/>
        <w:spacing w:after="312"/>
      </w:pPr>
      <w:r>
        <w:rPr>
          <w:rFonts w:hint="eastAsia"/>
        </w:rPr>
        <w:t xml:space="preserve">陕西省应急管理厅官网 </w:t>
      </w:r>
    </w:p>
    <w:p>
      <w:pPr>
        <w:jc w:val="center"/>
      </w:pPr>
      <w:r>
        <w:drawing>
          <wp:inline distT="0" distB="0" distL="0" distR="0">
            <wp:extent cx="5274310" cy="28022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2802255"/>
                    </a:xfrm>
                    <a:prstGeom prst="rect">
                      <a:avLst/>
                    </a:prstGeom>
                  </pic:spPr>
                </pic:pic>
              </a:graphicData>
            </a:graphic>
          </wp:inline>
        </w:drawing>
      </w:r>
    </w:p>
    <w:p>
      <w:pPr>
        <w:pStyle w:val="44"/>
        <w:spacing w:after="312"/>
        <w:ind w:left="0" w:firstLine="0"/>
      </w:pPr>
      <w:r>
        <w:rPr>
          <w:rFonts w:hint="eastAsia"/>
        </w:rPr>
        <w:t>陕西省应急管理综合应用平台登录页</w:t>
      </w:r>
    </w:p>
    <w:p>
      <w:pPr>
        <w:pStyle w:val="38"/>
        <w:ind w:firstLine="480"/>
      </w:pPr>
      <w:r>
        <w:rPr>
          <w:rFonts w:hint="eastAsia"/>
        </w:rPr>
        <w:t>使用注册的手机号码及口令（初始密码为Aa</w:t>
      </w:r>
      <w:r>
        <w:t>12345678</w:t>
      </w:r>
      <w:r>
        <w:rPr>
          <w:rFonts w:hint="eastAsia"/>
        </w:rPr>
        <w:t>）登录陕西省应急管理综合应用平台，点击右上角【业务平台】按钮（图</w:t>
      </w:r>
      <w:r>
        <w:t>3</w:t>
      </w:r>
      <w:r>
        <w:rPr>
          <w:rFonts w:hint="eastAsia"/>
        </w:rPr>
        <w:t>），进入处室工作台，然后点击【专家管理信息系统】进入陕西省应急管理厅专家管理信息系统（图</w:t>
      </w:r>
      <w:r>
        <w:t>4</w:t>
      </w:r>
      <w:r>
        <w:rPr>
          <w:rFonts w:hint="eastAsia"/>
        </w:rPr>
        <w:t>）。</w:t>
      </w:r>
    </w:p>
    <w:p>
      <w:r>
        <w:drawing>
          <wp:inline distT="0" distB="0" distL="0" distR="0">
            <wp:extent cx="5234305" cy="2735580"/>
            <wp:effectExtent l="0" t="0" r="444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34400" cy="2736000"/>
                    </a:xfrm>
                    <a:prstGeom prst="rect">
                      <a:avLst/>
                    </a:prstGeom>
                  </pic:spPr>
                </pic:pic>
              </a:graphicData>
            </a:graphic>
          </wp:inline>
        </w:drawing>
      </w:r>
    </w:p>
    <w:p>
      <w:pPr>
        <w:pStyle w:val="44"/>
        <w:spacing w:after="312"/>
      </w:pPr>
      <w:r>
        <w:rPr>
          <w:rFonts w:hint="eastAsia"/>
        </w:rPr>
        <w:t>陕西省应急管理综合应用平台主页</w:t>
      </w:r>
    </w:p>
    <w:p>
      <w:r>
        <w:drawing>
          <wp:inline distT="0" distB="0" distL="0" distR="0">
            <wp:extent cx="5226685" cy="2735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27200" cy="2736000"/>
                    </a:xfrm>
                    <a:prstGeom prst="rect">
                      <a:avLst/>
                    </a:prstGeom>
                  </pic:spPr>
                </pic:pic>
              </a:graphicData>
            </a:graphic>
          </wp:inline>
        </w:drawing>
      </w:r>
    </w:p>
    <w:p>
      <w:pPr>
        <w:pStyle w:val="44"/>
        <w:spacing w:after="312"/>
      </w:pPr>
      <w:r>
        <w:rPr>
          <w:rFonts w:hint="eastAsia"/>
        </w:rPr>
        <w:t>陕西省应急管理综合应用平台处室工作台</w:t>
      </w:r>
    </w:p>
    <w:p>
      <w:r>
        <w:br w:type="page"/>
      </w:r>
    </w:p>
    <w:p>
      <w:pPr>
        <w:pStyle w:val="4"/>
      </w:pPr>
      <w:bookmarkStart w:id="5" w:name="_Toc72145199"/>
      <w:r>
        <w:rPr>
          <w:rFonts w:hint="eastAsia"/>
        </w:rPr>
        <w:t>专家抽取</w:t>
      </w:r>
      <w:bookmarkEnd w:id="5"/>
    </w:p>
    <w:p>
      <w:pPr>
        <w:pStyle w:val="38"/>
        <w:ind w:firstLine="480"/>
      </w:pPr>
      <w:r>
        <w:rPr>
          <w:rFonts w:hint="eastAsia"/>
        </w:rPr>
        <w:t>目前专家抽取分为自主抽取和随机抽取两种。自主抽取方式为活动组织者自主选择要参加活动的专家并通过短信方式通知所选专家参加活动；随机抽取方式为活动组织者勾选专家组别并填写要抽取的专家人数后，系统随机选取专家，然后通过短信方式通知所选专家参加活动。</w:t>
      </w:r>
    </w:p>
    <w:p>
      <w:pPr>
        <w:pStyle w:val="5"/>
      </w:pPr>
      <w:r>
        <w:rPr>
          <w:rFonts w:hint="eastAsia"/>
        </w:rPr>
        <w:t>自主抽取方式</w:t>
      </w:r>
    </w:p>
    <w:p>
      <w:pPr>
        <w:pStyle w:val="38"/>
        <w:ind w:firstLine="480"/>
      </w:pPr>
      <w:r>
        <w:rPr>
          <w:rFonts w:hint="eastAsia"/>
        </w:rPr>
        <w:t>使用省市县账号登录系统后，在【首页】的左侧专家组别栏内选择专家组别，然后在专家信息栏中勾选需要邀请的专家，然后点击【选择发送】按钮（图5），在弹出的对话框中的活动通知短信主要信息填写栏填入活动的主要信息，然后点击【下发】按钮（图6），至此自主抽取专家并邀请对方参加活动完成。</w:t>
      </w:r>
    </w:p>
    <w:p>
      <w:pPr>
        <w:jc w:val="center"/>
      </w:pPr>
      <w:r>
        <w:drawing>
          <wp:inline distT="0" distB="0" distL="0" distR="0">
            <wp:extent cx="4838065" cy="251968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838400" cy="2520000"/>
                    </a:xfrm>
                    <a:prstGeom prst="rect">
                      <a:avLst/>
                    </a:prstGeom>
                  </pic:spPr>
                </pic:pic>
              </a:graphicData>
            </a:graphic>
          </wp:inline>
        </w:drawing>
      </w:r>
    </w:p>
    <w:p>
      <w:pPr>
        <w:pStyle w:val="44"/>
        <w:spacing w:after="0" w:afterLines="0"/>
      </w:pPr>
      <w:r>
        <w:rPr>
          <w:rFonts w:hint="eastAsia"/>
        </w:rPr>
        <w:t>自主抽取专家页</w:t>
      </w:r>
    </w:p>
    <w:p>
      <w:pPr>
        <w:jc w:val="center"/>
      </w:pPr>
      <w:r>
        <w:drawing>
          <wp:inline distT="0" distB="0" distL="0" distR="0">
            <wp:extent cx="5075555" cy="25196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076000" cy="2520000"/>
                    </a:xfrm>
                    <a:prstGeom prst="rect">
                      <a:avLst/>
                    </a:prstGeom>
                  </pic:spPr>
                </pic:pic>
              </a:graphicData>
            </a:graphic>
          </wp:inline>
        </w:drawing>
      </w:r>
    </w:p>
    <w:p>
      <w:pPr>
        <w:pStyle w:val="44"/>
        <w:spacing w:after="0" w:afterLines="0"/>
      </w:pPr>
      <w:r>
        <w:rPr>
          <w:rFonts w:hint="eastAsia"/>
        </w:rPr>
        <w:t>活动信息填写页</w:t>
      </w:r>
    </w:p>
    <w:p>
      <w:pPr>
        <w:pStyle w:val="5"/>
      </w:pPr>
      <w:r>
        <w:rPr>
          <w:rFonts w:hint="eastAsia"/>
        </w:rPr>
        <w:t>随机抽取方式</w:t>
      </w:r>
    </w:p>
    <w:p>
      <w:pPr>
        <w:pStyle w:val="38"/>
        <w:ind w:firstLine="480"/>
      </w:pPr>
      <w:r>
        <w:rPr>
          <w:rFonts w:hint="eastAsia"/>
        </w:rPr>
        <w:t>使用省市县账号登录系统后，在【首页】的左侧专家组别栏内选择参加活动专家的组别，然后点击【随机抽取】按钮（图</w:t>
      </w:r>
      <w:r>
        <w:t>7</w:t>
      </w:r>
      <w:r>
        <w:rPr>
          <w:rFonts w:hint="eastAsia"/>
        </w:rPr>
        <w:t>），在弹出的对话框中填入每个组需要抽取的专家数量，然后点击随机分配按钮，随机抽取完毕后，在活动通知短信主要信息填写栏填入活动的主要信息，然后点击【下发】按钮（图</w:t>
      </w:r>
      <w:r>
        <w:t>8</w:t>
      </w:r>
      <w:r>
        <w:rPr>
          <w:rFonts w:hint="eastAsia"/>
        </w:rPr>
        <w:t>），至此随机抽取专家并邀请对方参加活动完成。</w:t>
      </w:r>
    </w:p>
    <w:p>
      <w:r>
        <w:drawing>
          <wp:inline distT="0" distB="0" distL="0" distR="0">
            <wp:extent cx="5274310" cy="26111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611120"/>
                    </a:xfrm>
                    <a:prstGeom prst="rect">
                      <a:avLst/>
                    </a:prstGeom>
                  </pic:spPr>
                </pic:pic>
              </a:graphicData>
            </a:graphic>
          </wp:inline>
        </w:drawing>
      </w:r>
    </w:p>
    <w:p>
      <w:pPr>
        <w:pStyle w:val="44"/>
        <w:spacing w:after="312"/>
      </w:pPr>
      <w:r>
        <w:rPr>
          <w:rFonts w:hint="eastAsia"/>
        </w:rPr>
        <w:t>随机抽取专家页（1）</w:t>
      </w:r>
    </w:p>
    <w:p>
      <w:r>
        <w:drawing>
          <wp:inline distT="0" distB="0" distL="0" distR="0">
            <wp:extent cx="5274310" cy="26098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2609850"/>
                    </a:xfrm>
                    <a:prstGeom prst="rect">
                      <a:avLst/>
                    </a:prstGeom>
                  </pic:spPr>
                </pic:pic>
              </a:graphicData>
            </a:graphic>
          </wp:inline>
        </w:drawing>
      </w:r>
    </w:p>
    <w:p>
      <w:pPr>
        <w:pStyle w:val="44"/>
        <w:spacing w:after="312"/>
      </w:pPr>
      <w:r>
        <w:rPr>
          <w:rFonts w:hint="eastAsia"/>
        </w:rPr>
        <w:t>随机抽取专家页（</w:t>
      </w:r>
      <w:r>
        <w:t>2</w:t>
      </w:r>
      <w:r>
        <w:rPr>
          <w:rFonts w:hint="eastAsia"/>
        </w:rPr>
        <w:t>）</w:t>
      </w:r>
    </w:p>
    <w:p/>
    <w:p>
      <w:pPr>
        <w:pStyle w:val="4"/>
      </w:pPr>
      <w:bookmarkStart w:id="6" w:name="_Toc72145200"/>
      <w:r>
        <w:rPr>
          <w:rFonts w:hint="eastAsia"/>
        </w:rPr>
        <w:t>专家信息导出</w:t>
      </w:r>
      <w:bookmarkEnd w:id="6"/>
    </w:p>
    <w:p>
      <w:pPr>
        <w:pStyle w:val="38"/>
        <w:ind w:firstLine="480"/>
      </w:pPr>
      <w:r>
        <w:rPr>
          <w:rFonts w:hint="eastAsia"/>
        </w:rPr>
        <w:t>使用省市县账号登录系统后，在【首页】勾选想要导出信息的专家，然后点【专家信息导出】按钮，在弹出的对话框中点击【导出】按钮（图9），则本次所勾选专家的详细信息将以excel文件的形式导出到本地电脑中（一般情况下，导出的文件存放在本地电脑的下载文件夹内）。</w:t>
      </w:r>
    </w:p>
    <w:p>
      <w:pPr>
        <w:jc w:val="center"/>
      </w:pPr>
      <w:r>
        <w:drawing>
          <wp:inline distT="0" distB="0" distL="0" distR="0">
            <wp:extent cx="5100955" cy="251968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101200" cy="2520000"/>
                    </a:xfrm>
                    <a:prstGeom prst="rect">
                      <a:avLst/>
                    </a:prstGeom>
                  </pic:spPr>
                </pic:pic>
              </a:graphicData>
            </a:graphic>
          </wp:inline>
        </w:drawing>
      </w:r>
    </w:p>
    <w:p>
      <w:pPr>
        <w:pStyle w:val="44"/>
        <w:spacing w:after="156" w:afterLines="50"/>
      </w:pPr>
      <w:r>
        <w:rPr>
          <w:rFonts w:hint="eastAsia"/>
        </w:rPr>
        <w:t>专家信息导出页</w:t>
      </w:r>
    </w:p>
    <w:p>
      <w:pPr>
        <w:pStyle w:val="4"/>
      </w:pPr>
      <w:bookmarkStart w:id="7" w:name="_Toc72145201"/>
      <w:r>
        <w:rPr>
          <w:rFonts w:hint="eastAsia"/>
        </w:rPr>
        <w:t>活动查看</w:t>
      </w:r>
      <w:bookmarkEnd w:id="7"/>
    </w:p>
    <w:p>
      <w:pPr>
        <w:pStyle w:val="38"/>
        <w:ind w:firstLine="480"/>
      </w:pPr>
      <w:r>
        <w:rPr>
          <w:rFonts w:hint="eastAsia"/>
        </w:rPr>
        <w:t>使用省市县账号登录系统后，在【活动查看】页面（图1</w:t>
      </w:r>
      <w:r>
        <w:t>0</w:t>
      </w:r>
      <w:r>
        <w:rPr>
          <w:rFonts w:hint="eastAsia"/>
        </w:rPr>
        <w:t>），可查看该账号组织过的所有活动的详细信息，并可根据日期、活动名称、活动地点、预约的专家以及专家的回复结果进行分类查找和查看活动信息。</w:t>
      </w:r>
    </w:p>
    <w:p>
      <w:r>
        <w:drawing>
          <wp:inline distT="0" distB="0" distL="0" distR="0">
            <wp:extent cx="5274310" cy="2620645"/>
            <wp:effectExtent l="0" t="0" r="254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4310" cy="2620645"/>
                    </a:xfrm>
                    <a:prstGeom prst="rect">
                      <a:avLst/>
                    </a:prstGeom>
                  </pic:spPr>
                </pic:pic>
              </a:graphicData>
            </a:graphic>
          </wp:inline>
        </w:drawing>
      </w:r>
    </w:p>
    <w:p>
      <w:pPr>
        <w:pStyle w:val="44"/>
        <w:spacing w:after="312"/>
      </w:pPr>
      <w:r>
        <w:rPr>
          <w:rFonts w:hint="eastAsia"/>
        </w:rPr>
        <w:t>活动查看页</w:t>
      </w:r>
    </w:p>
    <w:p>
      <w:pPr>
        <w:pStyle w:val="3"/>
      </w:pPr>
      <w:bookmarkStart w:id="8" w:name="_Toc72145202"/>
      <w:r>
        <w:rPr>
          <w:rFonts w:hint="eastAsia"/>
        </w:rPr>
        <w:t>专家账号操作说明</w:t>
      </w:r>
      <w:bookmarkEnd w:id="8"/>
    </w:p>
    <w:p>
      <w:pPr>
        <w:pStyle w:val="4"/>
      </w:pPr>
      <w:bookmarkStart w:id="9" w:name="_Toc72145203"/>
      <w:r>
        <w:rPr>
          <w:rFonts w:hint="eastAsia"/>
        </w:rPr>
        <w:t>账号注册</w:t>
      </w:r>
      <w:bookmarkEnd w:id="9"/>
    </w:p>
    <w:p>
      <w:pPr>
        <w:pStyle w:val="38"/>
        <w:ind w:firstLine="480"/>
      </w:pPr>
      <w:r>
        <w:rPr>
          <w:rFonts w:hint="eastAsia"/>
        </w:rPr>
        <w:t>登录陕西省应急管理厅官网</w:t>
      </w:r>
      <w:r>
        <w:t>http://yjt.shannxi.gov.cn（图1</w:t>
      </w:r>
      <w:r>
        <w:rPr>
          <w:rFonts w:hint="eastAsia"/>
        </w:rPr>
        <w:t>），点击【综合应用平台】标签进入陕西省应急管理综合应用平台登录页面，点击该页面的【应急专家管理信息系统】按钮（图</w:t>
      </w:r>
      <w:r>
        <w:t>11</w:t>
      </w:r>
      <w:r>
        <w:rPr>
          <w:rFonts w:hint="eastAsia"/>
        </w:rPr>
        <w:t>）进入</w:t>
      </w:r>
      <w:r>
        <w:rPr>
          <w:rFonts w:hint="eastAsia"/>
          <w:color w:val="000000" w:themeColor="text1"/>
          <w14:textFill>
            <w14:solidFill>
              <w14:schemeClr w14:val="tx1"/>
            </w14:solidFill>
          </w14:textFill>
        </w:rPr>
        <w:t>陕西省应急管理厅应急专家管理信息系统</w:t>
      </w:r>
      <w:r>
        <w:rPr>
          <w:rFonts w:hint="eastAsia"/>
        </w:rPr>
        <w:t>页面，填入相应的信息完成账号注册（图1</w:t>
      </w:r>
      <w:r>
        <w:t>2</w:t>
      </w:r>
      <w:r>
        <w:rPr>
          <w:rFonts w:hint="eastAsia"/>
        </w:rPr>
        <w:t>）。</w:t>
      </w:r>
    </w:p>
    <w:p>
      <w:r>
        <w:drawing>
          <wp:inline distT="0" distB="0" distL="0" distR="0">
            <wp:extent cx="5274310" cy="27463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5274310" cy="2746375"/>
                    </a:xfrm>
                    <a:prstGeom prst="rect">
                      <a:avLst/>
                    </a:prstGeom>
                  </pic:spPr>
                </pic:pic>
              </a:graphicData>
            </a:graphic>
          </wp:inline>
        </w:drawing>
      </w:r>
    </w:p>
    <w:p>
      <w:pPr>
        <w:pStyle w:val="44"/>
        <w:spacing w:after="312"/>
      </w:pPr>
      <w:r>
        <w:rPr>
          <w:rFonts w:hint="eastAsia"/>
        </w:rPr>
        <w:t>陕西省应急管理综合应用平台登录页</w:t>
      </w:r>
    </w:p>
    <w:p>
      <w:r>
        <w:drawing>
          <wp:inline distT="0" distB="0" distL="0" distR="0">
            <wp:extent cx="5274310" cy="26181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4310" cy="2618105"/>
                    </a:xfrm>
                    <a:prstGeom prst="rect">
                      <a:avLst/>
                    </a:prstGeom>
                  </pic:spPr>
                </pic:pic>
              </a:graphicData>
            </a:graphic>
          </wp:inline>
        </w:drawing>
      </w:r>
    </w:p>
    <w:p>
      <w:pPr>
        <w:pStyle w:val="44"/>
        <w:spacing w:after="312"/>
      </w:pPr>
      <w:r>
        <w:rPr>
          <w:rFonts w:hint="eastAsia"/>
        </w:rPr>
        <w:t>陕西省应急管理厅专家管理信息系统注册页</w:t>
      </w:r>
    </w:p>
    <w:p>
      <w:pPr>
        <w:pStyle w:val="4"/>
      </w:pPr>
      <w:bookmarkStart w:id="10" w:name="_Toc72145204"/>
      <w:r>
        <w:rPr>
          <w:rFonts w:hint="eastAsia"/>
        </w:rPr>
        <w:t>专家资格申请</w:t>
      </w:r>
      <w:bookmarkEnd w:id="10"/>
    </w:p>
    <w:p>
      <w:pPr>
        <w:pStyle w:val="38"/>
        <w:ind w:firstLine="480"/>
      </w:pPr>
      <w:r>
        <w:rPr>
          <w:rFonts w:hint="eastAsia"/>
        </w:rPr>
        <w:t>使用注册的手机号及密码（初始密码为Aa</w:t>
      </w:r>
      <w:r>
        <w:t>12345678</w:t>
      </w:r>
      <w:r>
        <w:rPr>
          <w:rFonts w:hint="eastAsia"/>
        </w:rPr>
        <w:t>）登录专家管理信息系统，登录方法见“3</w:t>
      </w:r>
      <w:r>
        <w:t>.1.1</w:t>
      </w:r>
      <w:r>
        <w:rPr>
          <w:rFonts w:hint="eastAsia"/>
        </w:rPr>
        <w:t>、登录”章节。</w:t>
      </w:r>
    </w:p>
    <w:p>
      <w:pPr>
        <w:pStyle w:val="38"/>
        <w:ind w:firstLine="480"/>
      </w:pPr>
      <w:r>
        <w:rPr>
          <w:rFonts w:hint="eastAsia"/>
        </w:rPr>
        <w:t>登录成功后进行专家资格申请，申请前需在【个人中心】页面点击【修改】按钮填写个人信息，其中带</w:t>
      </w:r>
      <w:r>
        <w:t>*</w:t>
      </w:r>
      <w:r>
        <w:rPr>
          <w:rFonts w:hint="eastAsia"/>
        </w:rPr>
        <w:t>项为必填项，填写完成后点击【提交】按钮</w:t>
      </w:r>
      <w:r>
        <w:t>（图13</w:t>
      </w:r>
      <w:r>
        <w:rPr>
          <w:rFonts w:hint="eastAsia"/>
        </w:rPr>
        <w:t>），至此专家资格申请完成，等待审批人员进行资格审查及审批。</w:t>
      </w:r>
    </w:p>
    <w:p>
      <w:r>
        <w:drawing>
          <wp:inline distT="0" distB="0" distL="0" distR="0">
            <wp:extent cx="5274310" cy="26111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4310" cy="2611120"/>
                    </a:xfrm>
                    <a:prstGeom prst="rect">
                      <a:avLst/>
                    </a:prstGeom>
                  </pic:spPr>
                </pic:pic>
              </a:graphicData>
            </a:graphic>
          </wp:inline>
        </w:drawing>
      </w:r>
    </w:p>
    <w:p>
      <w:pPr>
        <w:pStyle w:val="44"/>
        <w:spacing w:after="312"/>
      </w:pPr>
      <w:r>
        <w:rPr>
          <w:rFonts w:hint="eastAsia"/>
        </w:rPr>
        <w:t>专家个人中心页</w:t>
      </w:r>
    </w:p>
    <w:p>
      <w:pPr>
        <w:pStyle w:val="4"/>
      </w:pPr>
      <w:bookmarkStart w:id="11" w:name="_Toc72145205"/>
      <w:r>
        <w:rPr>
          <w:rFonts w:hint="eastAsia"/>
        </w:rPr>
        <w:t>信息修改</w:t>
      </w:r>
      <w:bookmarkEnd w:id="11"/>
    </w:p>
    <w:p>
      <w:pPr>
        <w:pStyle w:val="38"/>
        <w:ind w:firstLine="480"/>
      </w:pPr>
      <w:r>
        <w:rPr>
          <w:rFonts w:hint="eastAsia"/>
        </w:rPr>
        <w:t>使用注册的手机号及密码（初始密码为Aa</w:t>
      </w:r>
      <w:r>
        <w:t>12345678</w:t>
      </w:r>
      <w:r>
        <w:rPr>
          <w:rFonts w:hint="eastAsia"/>
        </w:rPr>
        <w:t>）登录专家管理信息系统，登录方法见“3</w:t>
      </w:r>
      <w:r>
        <w:t>.1.1</w:t>
      </w:r>
      <w:r>
        <w:rPr>
          <w:rFonts w:hint="eastAsia"/>
        </w:rPr>
        <w:t>、登录”章节。</w:t>
      </w:r>
    </w:p>
    <w:p>
      <w:pPr>
        <w:pStyle w:val="38"/>
        <w:ind w:firstLine="480"/>
      </w:pPr>
      <w:r>
        <w:rPr>
          <w:rFonts w:hint="eastAsia"/>
        </w:rPr>
        <w:t>登录成功后在【个人中心】页面点击【修改】按钮修改个人信息，其中带</w:t>
      </w:r>
      <w:r>
        <w:t>*</w:t>
      </w:r>
      <w:r>
        <w:rPr>
          <w:rFonts w:hint="eastAsia"/>
        </w:rPr>
        <w:t>项为不可修改项，修改完成后点击【提交】按钮</w:t>
      </w:r>
      <w:r>
        <w:t>（图13</w:t>
      </w:r>
      <w:r>
        <w:rPr>
          <w:rFonts w:hint="eastAsia"/>
        </w:rPr>
        <w:t>），等待审批人员进行修改内容审查及审批。</w:t>
      </w:r>
    </w:p>
    <w:p>
      <w:pPr>
        <w:pStyle w:val="38"/>
        <w:ind w:firstLine="480"/>
      </w:pPr>
    </w:p>
    <w:p>
      <w:pPr>
        <w:pStyle w:val="38"/>
        <w:ind w:firstLine="480"/>
      </w:pPr>
      <w:r>
        <w:br w:type="page"/>
      </w:r>
    </w:p>
    <w:p>
      <w:pPr>
        <w:pStyle w:val="4"/>
      </w:pPr>
      <w:bookmarkStart w:id="12" w:name="_Toc72145206"/>
      <w:r>
        <w:rPr>
          <w:rFonts w:hint="eastAsia"/>
        </w:rPr>
        <w:t>历史申请查看</w:t>
      </w:r>
      <w:bookmarkEnd w:id="12"/>
    </w:p>
    <w:p>
      <w:pPr>
        <w:pStyle w:val="38"/>
        <w:ind w:firstLine="480"/>
      </w:pPr>
      <w:r>
        <w:rPr>
          <w:rFonts w:hint="eastAsia"/>
        </w:rPr>
        <w:t>以提交应急专家资格申请的专家，可登陆本系统查看申请状态，具体为登陆专家管理信息系统，进入历史申请页面点击【查看详情】按钮查看（图1</w:t>
      </w:r>
      <w:r>
        <w:t>4</w:t>
      </w:r>
      <w:r>
        <w:rPr>
          <w:rFonts w:hint="eastAsia"/>
        </w:rPr>
        <w:t>）。</w:t>
      </w:r>
    </w:p>
    <w:p>
      <w:r>
        <w:drawing>
          <wp:inline distT="0" distB="0" distL="0" distR="0">
            <wp:extent cx="5274310" cy="261937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4310" cy="2619375"/>
                    </a:xfrm>
                    <a:prstGeom prst="rect">
                      <a:avLst/>
                    </a:prstGeom>
                  </pic:spPr>
                </pic:pic>
              </a:graphicData>
            </a:graphic>
          </wp:inline>
        </w:drawing>
      </w:r>
    </w:p>
    <w:p>
      <w:pPr>
        <w:pStyle w:val="44"/>
        <w:spacing w:after="312"/>
      </w:pPr>
      <w:r>
        <w:rPr>
          <w:rFonts w:hint="eastAsia"/>
        </w:rPr>
        <w:t>历史申请页</w:t>
      </w:r>
    </w:p>
    <w:p>
      <w:pPr>
        <w:pStyle w:val="4"/>
      </w:pPr>
      <w:bookmarkStart w:id="13" w:name="_Toc72145207"/>
      <w:r>
        <w:rPr>
          <w:rFonts w:hint="eastAsia"/>
        </w:rPr>
        <w:t>活动信息登记</w:t>
      </w:r>
      <w:bookmarkEnd w:id="13"/>
    </w:p>
    <w:p>
      <w:pPr>
        <w:pStyle w:val="38"/>
        <w:ind w:firstLine="480"/>
      </w:pPr>
      <w:r>
        <w:rPr>
          <w:rFonts w:hint="eastAsia"/>
        </w:rPr>
        <w:t>被邀请的专家收到邀请短信后，</w:t>
      </w:r>
      <w:r>
        <w:rPr>
          <w:rFonts w:hint="eastAsia"/>
          <w:color w:val="000000" w:themeColor="text1"/>
          <w14:textFill>
            <w14:solidFill>
              <w14:schemeClr w14:val="tx1"/>
            </w14:solidFill>
          </w14:textFill>
        </w:rPr>
        <w:t>可</w:t>
      </w:r>
      <w:r>
        <w:rPr>
          <w:rFonts w:hint="eastAsia"/>
        </w:rPr>
        <w:t>回复数字1代表参加本次活动，回复数字2代表不参加本次活动。回复数字</w:t>
      </w:r>
      <w:r>
        <w:t>1</w:t>
      </w:r>
      <w:r>
        <w:rPr>
          <w:rFonts w:hint="eastAsia"/>
        </w:rPr>
        <w:t>后需在参加完活动后于【活动信息登记】页面点击【填写登记表】按钮，在弹出的对话框中发表参与活动后的意见；回复数字2后需登陆本系统进入【活动信息登记】页面填写拒绝理由（图1</w:t>
      </w:r>
      <w:r>
        <w:t>5</w:t>
      </w:r>
      <w:r>
        <w:rPr>
          <w:rFonts w:hint="eastAsia"/>
        </w:rPr>
        <w:t>）。</w:t>
      </w:r>
    </w:p>
    <w:p>
      <w:r>
        <w:drawing>
          <wp:inline distT="0" distB="0" distL="0" distR="0">
            <wp:extent cx="5274310" cy="26168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616835"/>
                    </a:xfrm>
                    <a:prstGeom prst="rect">
                      <a:avLst/>
                    </a:prstGeom>
                  </pic:spPr>
                </pic:pic>
              </a:graphicData>
            </a:graphic>
          </wp:inline>
        </w:drawing>
      </w:r>
    </w:p>
    <w:p>
      <w:pPr>
        <w:pStyle w:val="44"/>
        <w:spacing w:after="312"/>
      </w:pPr>
      <w:r>
        <w:rPr>
          <w:rFonts w:hint="eastAsia"/>
        </w:rPr>
        <w:t>活动信息登记页</w:t>
      </w:r>
    </w:p>
    <w:p>
      <w:pPr>
        <w:pStyle w:val="4"/>
      </w:pPr>
      <w:bookmarkStart w:id="14" w:name="_Toc72145208"/>
      <w:r>
        <w:rPr>
          <w:rFonts w:hint="eastAsia"/>
        </w:rPr>
        <w:t>通知公告查看</w:t>
      </w:r>
      <w:bookmarkEnd w:id="14"/>
    </w:p>
    <w:p>
      <w:pPr>
        <w:pStyle w:val="38"/>
        <w:ind w:firstLine="480"/>
      </w:pPr>
      <w:r>
        <w:rPr>
          <w:rFonts w:hint="eastAsia"/>
        </w:rPr>
        <w:t>专家账号登陆本系统后，可查看管理员发布的各类通知，具体查看方式为登陆专家管理信息系统后点击【通知公告】中的通知标题查看（图1</w:t>
      </w:r>
      <w:r>
        <w:t>6</w:t>
      </w:r>
      <w:r>
        <w:rPr>
          <w:rFonts w:hint="eastAsia"/>
        </w:rPr>
        <w:t>）。</w:t>
      </w:r>
    </w:p>
    <w:p>
      <w:r>
        <w:drawing>
          <wp:inline distT="0" distB="0" distL="0" distR="0">
            <wp:extent cx="5274310" cy="26231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74310" cy="2623185"/>
                    </a:xfrm>
                    <a:prstGeom prst="rect">
                      <a:avLst/>
                    </a:prstGeom>
                  </pic:spPr>
                </pic:pic>
              </a:graphicData>
            </a:graphic>
          </wp:inline>
        </w:drawing>
      </w:r>
    </w:p>
    <w:p>
      <w:pPr>
        <w:pStyle w:val="44"/>
        <w:spacing w:after="312"/>
      </w:pPr>
      <w:r>
        <w:rPr>
          <w:rFonts w:hint="eastAsia"/>
        </w:rPr>
        <w:t>通知公告查看</w:t>
      </w:r>
    </w:p>
    <w:p>
      <w:pPr>
        <w:pStyle w:val="3"/>
      </w:pPr>
      <w:bookmarkStart w:id="15" w:name="_Toc72145209"/>
      <w:r>
        <w:rPr>
          <w:rFonts w:hint="eastAsia"/>
        </w:rPr>
        <w:t>审批账号操作说明</w:t>
      </w:r>
      <w:bookmarkEnd w:id="15"/>
    </w:p>
    <w:p>
      <w:pPr>
        <w:pStyle w:val="4"/>
      </w:pPr>
      <w:bookmarkStart w:id="16" w:name="_Toc72145210"/>
      <w:r>
        <w:rPr>
          <w:rFonts w:hint="eastAsia"/>
        </w:rPr>
        <w:t>信息审批</w:t>
      </w:r>
      <w:bookmarkEnd w:id="16"/>
    </w:p>
    <w:p>
      <w:pPr>
        <w:pStyle w:val="38"/>
        <w:ind w:firstLine="480"/>
      </w:pPr>
      <w:r>
        <w:rPr>
          <w:rFonts w:hint="eastAsia"/>
        </w:rPr>
        <w:t>审批管理员使用审批账号登陆系统后，可进入【审批管理】页面的【待审批】类别中查看待审批信息并进行审批（图1</w:t>
      </w:r>
      <w:r>
        <w:t>7</w:t>
      </w:r>
      <w:r>
        <w:rPr>
          <w:rFonts w:hint="eastAsia"/>
        </w:rPr>
        <w:t>），审批分为通过和拒绝，如果审批结果为拒绝，需填写拒绝理由。</w:t>
      </w:r>
    </w:p>
    <w:p>
      <w:r>
        <w:drawing>
          <wp:inline distT="0" distB="0" distL="0" distR="0">
            <wp:extent cx="5274310" cy="26162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5274310" cy="2616200"/>
                    </a:xfrm>
                    <a:prstGeom prst="rect">
                      <a:avLst/>
                    </a:prstGeom>
                  </pic:spPr>
                </pic:pic>
              </a:graphicData>
            </a:graphic>
          </wp:inline>
        </w:drawing>
      </w:r>
    </w:p>
    <w:p>
      <w:pPr>
        <w:pStyle w:val="44"/>
        <w:spacing w:after="312"/>
      </w:pPr>
      <w:r>
        <w:rPr>
          <w:rFonts w:hint="eastAsia"/>
        </w:rPr>
        <w:t>专家申请审批页</w:t>
      </w:r>
    </w:p>
    <w:p>
      <w:pPr>
        <w:pStyle w:val="4"/>
      </w:pPr>
      <w:bookmarkStart w:id="17" w:name="_Toc72145211"/>
      <w:r>
        <w:rPr>
          <w:rFonts w:hint="eastAsia"/>
        </w:rPr>
        <w:t>已审批内容查看</w:t>
      </w:r>
      <w:bookmarkEnd w:id="17"/>
    </w:p>
    <w:p>
      <w:pPr>
        <w:pStyle w:val="38"/>
        <w:ind w:firstLine="480"/>
      </w:pPr>
      <w:r>
        <w:rPr>
          <w:rFonts w:hint="eastAsia"/>
        </w:rPr>
        <w:t>审批管理员使用审批账号登陆系统后，可进入【审批管理】页面的【已审批】类别中查看本账号已经审批过的内容信息（图1</w:t>
      </w:r>
      <w:r>
        <w:t>8</w:t>
      </w:r>
      <w:r>
        <w:rPr>
          <w:rFonts w:hint="eastAsia"/>
        </w:rPr>
        <w:t>）。</w:t>
      </w:r>
    </w:p>
    <w:p>
      <w:r>
        <w:drawing>
          <wp:inline distT="0" distB="0" distL="0" distR="0">
            <wp:extent cx="5274310" cy="261366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2613660"/>
                    </a:xfrm>
                    <a:prstGeom prst="rect">
                      <a:avLst/>
                    </a:prstGeom>
                  </pic:spPr>
                </pic:pic>
              </a:graphicData>
            </a:graphic>
          </wp:inline>
        </w:drawing>
      </w:r>
    </w:p>
    <w:p>
      <w:pPr>
        <w:pStyle w:val="44"/>
        <w:spacing w:after="312"/>
      </w:pPr>
      <w:r>
        <w:rPr>
          <w:rFonts w:hint="eastAsia"/>
        </w:rPr>
        <w:t>已审批内容查看页</w:t>
      </w:r>
    </w:p>
    <w:p>
      <w:pPr>
        <w:pStyle w:val="4"/>
      </w:pPr>
      <w:bookmarkStart w:id="18" w:name="_Toc72145212"/>
      <w:r>
        <w:rPr>
          <w:rFonts w:hint="eastAsia"/>
        </w:rPr>
        <w:t>审批配置查看</w:t>
      </w:r>
      <w:bookmarkEnd w:id="18"/>
    </w:p>
    <w:p>
      <w:pPr>
        <w:pStyle w:val="38"/>
        <w:ind w:firstLine="480"/>
      </w:pPr>
      <w:r>
        <w:rPr>
          <w:rFonts w:hint="eastAsia"/>
        </w:rPr>
        <w:t>审批管理员使用审批账号登陆系统后，可进入【审批管理】页面的【审批配置】类别中查看本账号审批配置信息（图1</w:t>
      </w:r>
      <w:r>
        <w:t>9</w:t>
      </w:r>
      <w:r>
        <w:rPr>
          <w:rFonts w:hint="eastAsia"/>
        </w:rPr>
        <w:t>）。</w:t>
      </w:r>
    </w:p>
    <w:p>
      <w:r>
        <w:drawing>
          <wp:inline distT="0" distB="0" distL="0" distR="0">
            <wp:extent cx="5274310" cy="26193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274310" cy="2619375"/>
                    </a:xfrm>
                    <a:prstGeom prst="rect">
                      <a:avLst/>
                    </a:prstGeom>
                  </pic:spPr>
                </pic:pic>
              </a:graphicData>
            </a:graphic>
          </wp:inline>
        </w:drawing>
      </w:r>
    </w:p>
    <w:p>
      <w:pPr>
        <w:pStyle w:val="44"/>
        <w:spacing w:after="312"/>
      </w:pPr>
      <w:r>
        <w:rPr>
          <w:rFonts w:hint="eastAsia"/>
        </w:rPr>
        <w:t>审批账号审批配置页</w:t>
      </w:r>
    </w:p>
    <w:p>
      <w:pPr>
        <w:pStyle w:val="3"/>
      </w:pPr>
      <w:bookmarkStart w:id="19" w:name="_Toc72145213"/>
      <w:r>
        <w:rPr>
          <w:rFonts w:hint="eastAsia"/>
        </w:rPr>
        <w:t>运维账号操作说明</w:t>
      </w:r>
      <w:bookmarkEnd w:id="19"/>
    </w:p>
    <w:p>
      <w:pPr>
        <w:pStyle w:val="4"/>
      </w:pPr>
      <w:bookmarkStart w:id="20" w:name="_Toc72145214"/>
      <w:r>
        <w:rPr>
          <w:rFonts w:hint="eastAsia"/>
        </w:rPr>
        <w:t>账号管理</w:t>
      </w:r>
      <w:bookmarkEnd w:id="20"/>
    </w:p>
    <w:p>
      <w:pPr>
        <w:pStyle w:val="38"/>
        <w:ind w:firstLine="480"/>
      </w:pPr>
      <w:r>
        <w:rPr>
          <w:rFonts w:hint="eastAsia"/>
        </w:rPr>
        <w:t>运维人员登陆使用运维账号登陆系统后，可进入【账号管理】页面新建系统的各类型账号，也可对现有账号进行删除。</w:t>
      </w:r>
    </w:p>
    <w:p>
      <w:pPr>
        <w:pStyle w:val="5"/>
      </w:pPr>
      <w:r>
        <w:rPr>
          <w:rFonts w:hint="eastAsia"/>
        </w:rPr>
        <w:t>账号新建</w:t>
      </w:r>
    </w:p>
    <w:p>
      <w:pPr>
        <w:pStyle w:val="38"/>
        <w:ind w:firstLine="480"/>
      </w:pPr>
      <w:r>
        <w:rPr>
          <w:rFonts w:hint="eastAsia"/>
        </w:rPr>
        <w:t>使用运维账号登陆系统后，点击【新建】按钮，在弹出的对话框中选择待注册账号的类别，然后逐一填写账号的【联系方式】、【用户名】、【邮箱】，并选择账号使用人的性别（图</w:t>
      </w:r>
      <w:r>
        <w:t>20</w:t>
      </w:r>
      <w:r>
        <w:rPr>
          <w:rFonts w:hint="eastAsia"/>
        </w:rPr>
        <w:t>），其中联系方式需填写账号使用人的手机号，用户名可填写账号使用人的姓名或工作岗位，邮箱属于选填项，可填写账号使用人的电子邮箱。</w:t>
      </w:r>
    </w:p>
    <w:p>
      <w:r>
        <w:drawing>
          <wp:inline distT="0" distB="0" distL="0" distR="0">
            <wp:extent cx="5274310" cy="26149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74310" cy="2614930"/>
                    </a:xfrm>
                    <a:prstGeom prst="rect">
                      <a:avLst/>
                    </a:prstGeom>
                  </pic:spPr>
                </pic:pic>
              </a:graphicData>
            </a:graphic>
          </wp:inline>
        </w:drawing>
      </w:r>
    </w:p>
    <w:p>
      <w:pPr>
        <w:pStyle w:val="44"/>
        <w:spacing w:after="312"/>
      </w:pPr>
      <w:r>
        <w:rPr>
          <w:rFonts w:hint="eastAsia"/>
        </w:rPr>
        <w:t>运维账号账号管理页</w:t>
      </w:r>
    </w:p>
    <w:p>
      <w:r>
        <w:br w:type="page"/>
      </w:r>
    </w:p>
    <w:p>
      <w:pPr>
        <w:pStyle w:val="5"/>
      </w:pPr>
      <w:r>
        <w:rPr>
          <w:rFonts w:hint="eastAsia"/>
        </w:rPr>
        <w:t>账号删除</w:t>
      </w:r>
    </w:p>
    <w:p>
      <w:pPr>
        <w:pStyle w:val="38"/>
        <w:ind w:firstLine="480"/>
      </w:pPr>
      <w:r>
        <w:rPr>
          <w:rFonts w:hint="eastAsia"/>
        </w:rPr>
        <w:t>使用运维账号登陆系统后，勾选待删除的账号，然后点击删除按钮，即可完成该账号的删除（图2</w:t>
      </w:r>
      <w:r>
        <w:t>1</w:t>
      </w:r>
      <w:r>
        <w:rPr>
          <w:rFonts w:hint="eastAsia"/>
        </w:rPr>
        <w:t>）。</w:t>
      </w:r>
    </w:p>
    <w:p>
      <w:r>
        <w:drawing>
          <wp:inline distT="0" distB="0" distL="0" distR="0">
            <wp:extent cx="5274310" cy="2619375"/>
            <wp:effectExtent l="0" t="0" r="254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619375"/>
                    </a:xfrm>
                    <a:prstGeom prst="rect">
                      <a:avLst/>
                    </a:prstGeom>
                  </pic:spPr>
                </pic:pic>
              </a:graphicData>
            </a:graphic>
          </wp:inline>
        </w:drawing>
      </w:r>
    </w:p>
    <w:p>
      <w:pPr>
        <w:pStyle w:val="44"/>
        <w:spacing w:after="312"/>
      </w:pPr>
      <w:r>
        <w:rPr>
          <w:rFonts w:hint="eastAsia"/>
        </w:rPr>
        <w:t>运维账号账号管理页</w:t>
      </w:r>
    </w:p>
    <w:p>
      <w:pPr>
        <w:pStyle w:val="4"/>
      </w:pPr>
      <w:bookmarkStart w:id="21" w:name="_Toc72145215"/>
      <w:r>
        <w:rPr>
          <w:rFonts w:hint="eastAsia"/>
        </w:rPr>
        <w:t>日志管理</w:t>
      </w:r>
      <w:bookmarkEnd w:id="21"/>
    </w:p>
    <w:p>
      <w:pPr>
        <w:pStyle w:val="38"/>
        <w:ind w:firstLine="480"/>
      </w:pPr>
      <w:r>
        <w:rPr>
          <w:rFonts w:hint="eastAsia"/>
        </w:rPr>
        <w:t>使用运维账号登陆系统后，点击【日志管理】按钮进入日志管理页面，可在该页面查看各个用户的操作记录，并可查看某账号导出的专家信息（图2</w:t>
      </w:r>
      <w:r>
        <w:t>2</w:t>
      </w:r>
      <w:r>
        <w:rPr>
          <w:rFonts w:hint="eastAsia"/>
        </w:rPr>
        <w:t>）。</w:t>
      </w:r>
    </w:p>
    <w:p>
      <w:r>
        <w:drawing>
          <wp:inline distT="0" distB="0" distL="0" distR="0">
            <wp:extent cx="5274310" cy="262318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623185"/>
                    </a:xfrm>
                    <a:prstGeom prst="rect">
                      <a:avLst/>
                    </a:prstGeom>
                  </pic:spPr>
                </pic:pic>
              </a:graphicData>
            </a:graphic>
          </wp:inline>
        </w:drawing>
      </w:r>
    </w:p>
    <w:p>
      <w:pPr>
        <w:pStyle w:val="44"/>
        <w:spacing w:after="312"/>
      </w:pPr>
      <w:r>
        <w:rPr>
          <w:rFonts w:hint="eastAsia"/>
        </w:rPr>
        <w:t>运维账号日志管理页</w:t>
      </w:r>
    </w:p>
    <w:p>
      <w:pPr>
        <w:pStyle w:val="4"/>
      </w:pPr>
      <w:bookmarkStart w:id="22" w:name="_Toc72145216"/>
      <w:r>
        <w:rPr>
          <w:rFonts w:hint="eastAsia"/>
        </w:rPr>
        <w:t>活动查看</w:t>
      </w:r>
      <w:bookmarkEnd w:id="22"/>
    </w:p>
    <w:p>
      <w:pPr>
        <w:pStyle w:val="38"/>
        <w:ind w:firstLine="480"/>
      </w:pPr>
      <w:r>
        <w:rPr>
          <w:rFonts w:hint="eastAsia"/>
        </w:rPr>
        <w:t>使用运维账号登陆系统后，点击【活动查看】进入活动查看页面，该页面可查看此前所有活动的相关信息（图</w:t>
      </w:r>
      <w:r>
        <w:t>23</w:t>
      </w:r>
      <w:r>
        <w:rPr>
          <w:rFonts w:hint="eastAsia"/>
        </w:rPr>
        <w:t>），包括活动的名称、地点、时间、组织人员、预约方式以及预约的专家、专家是否参加该活动、专家拒绝参加该活动的理由、专家参加该活动后的登记表等信息（图2</w:t>
      </w:r>
      <w:r>
        <w:t>4</w:t>
      </w:r>
      <w:r>
        <w:rPr>
          <w:rFonts w:hint="eastAsia"/>
        </w:rPr>
        <w:t>）。同时在该页面还可根据活动的时间、名称、地点以及预约的专家姓名、专家回复的结果进行不同组合方式的查询。</w:t>
      </w:r>
    </w:p>
    <w:p>
      <w:r>
        <w:drawing>
          <wp:inline distT="0" distB="0" distL="0" distR="0">
            <wp:extent cx="5274310" cy="262191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4310" cy="2621915"/>
                    </a:xfrm>
                    <a:prstGeom prst="rect">
                      <a:avLst/>
                    </a:prstGeom>
                  </pic:spPr>
                </pic:pic>
              </a:graphicData>
            </a:graphic>
          </wp:inline>
        </w:drawing>
      </w:r>
    </w:p>
    <w:p>
      <w:pPr>
        <w:pStyle w:val="44"/>
        <w:spacing w:after="312"/>
      </w:pPr>
      <w:r>
        <w:rPr>
          <w:rFonts w:hint="eastAsia"/>
        </w:rPr>
        <w:t>运维账号活动查看页</w:t>
      </w:r>
    </w:p>
    <w:p>
      <w:r>
        <w:drawing>
          <wp:inline distT="0" distB="0" distL="0" distR="0">
            <wp:extent cx="5274310" cy="26181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4310" cy="2618105"/>
                    </a:xfrm>
                    <a:prstGeom prst="rect">
                      <a:avLst/>
                    </a:prstGeom>
                  </pic:spPr>
                </pic:pic>
              </a:graphicData>
            </a:graphic>
          </wp:inline>
        </w:drawing>
      </w:r>
    </w:p>
    <w:p>
      <w:pPr>
        <w:pStyle w:val="44"/>
        <w:spacing w:after="312"/>
      </w:pPr>
      <w:r>
        <w:rPr>
          <w:rFonts w:hint="eastAsia"/>
        </w:rPr>
        <w:t>运维账号查看专家参加活动登记表页</w:t>
      </w:r>
    </w:p>
    <w:p>
      <w:pPr>
        <w:pStyle w:val="38"/>
        <w:ind w:firstLine="480"/>
      </w:pPr>
    </w:p>
    <w:p>
      <w:pPr>
        <w:pStyle w:val="3"/>
      </w:pPr>
      <w:bookmarkStart w:id="23" w:name="_Toc72145217"/>
      <w:r>
        <w:rPr>
          <w:rFonts w:hint="eastAsia"/>
        </w:rPr>
        <w:t>超级管理员操作说明</w:t>
      </w:r>
      <w:bookmarkEnd w:id="23"/>
    </w:p>
    <w:p>
      <w:pPr>
        <w:pStyle w:val="38"/>
        <w:ind w:firstLine="480"/>
      </w:pPr>
      <w:r>
        <w:rPr>
          <w:rFonts w:hint="eastAsia"/>
        </w:rPr>
        <w:t>超级管理员登陆使用超管账号登陆系统后，具有专家抽取、活动查看、账号管理、专业组管理、专家管理、审批管理、发布通知、日志管理、系统设置等能力。</w:t>
      </w:r>
    </w:p>
    <w:p>
      <w:pPr>
        <w:pStyle w:val="4"/>
      </w:pPr>
      <w:bookmarkStart w:id="24" w:name="_Toc72145218"/>
      <w:r>
        <w:rPr>
          <w:rFonts w:hint="eastAsia"/>
        </w:rPr>
        <w:t>专家抽取</w:t>
      </w:r>
      <w:bookmarkEnd w:id="24"/>
    </w:p>
    <w:p>
      <w:pPr>
        <w:pStyle w:val="38"/>
        <w:ind w:firstLine="480"/>
      </w:pPr>
      <w:r>
        <w:rPr>
          <w:rFonts w:hint="eastAsia"/>
        </w:rPr>
        <w:t>超管账号的专家抽取操作流程同省市县账号的专家抽取操作流程相同，具体见3</w:t>
      </w:r>
      <w:r>
        <w:t>.1.2-3.1.3</w:t>
      </w:r>
      <w:r>
        <w:rPr>
          <w:rFonts w:hint="eastAsia"/>
        </w:rPr>
        <w:t>章节。</w:t>
      </w:r>
    </w:p>
    <w:p>
      <w:pPr>
        <w:pStyle w:val="4"/>
      </w:pPr>
      <w:bookmarkStart w:id="25" w:name="_Toc72145219"/>
      <w:r>
        <w:rPr>
          <w:rFonts w:hint="eastAsia"/>
        </w:rPr>
        <w:t>活动查看</w:t>
      </w:r>
      <w:bookmarkEnd w:id="25"/>
    </w:p>
    <w:p>
      <w:pPr>
        <w:pStyle w:val="38"/>
        <w:ind w:firstLine="480"/>
      </w:pPr>
      <w:r>
        <w:rPr>
          <w:rFonts w:hint="eastAsia"/>
        </w:rPr>
        <w:t>超管账号的活动查看操作流程同省市县账号的活动查看操作流程相同，具体见3</w:t>
      </w:r>
      <w:r>
        <w:t>.1.4</w:t>
      </w:r>
      <w:r>
        <w:rPr>
          <w:rFonts w:hint="eastAsia"/>
        </w:rPr>
        <w:t>章节。</w:t>
      </w:r>
    </w:p>
    <w:p>
      <w:pPr>
        <w:pStyle w:val="4"/>
      </w:pPr>
      <w:bookmarkStart w:id="26" w:name="_Toc72145220"/>
      <w:r>
        <w:rPr>
          <w:rFonts w:hint="eastAsia"/>
        </w:rPr>
        <w:t>账号管理</w:t>
      </w:r>
      <w:bookmarkEnd w:id="26"/>
    </w:p>
    <w:p>
      <w:pPr>
        <w:pStyle w:val="38"/>
        <w:ind w:firstLine="480"/>
      </w:pPr>
      <w:r>
        <w:rPr>
          <w:rFonts w:hint="eastAsia"/>
        </w:rPr>
        <w:t>超管账号的账号管理操作流程同运维账号的账号操作流程相同，具体见3</w:t>
      </w:r>
      <w:r>
        <w:t>.4.1</w:t>
      </w:r>
      <w:r>
        <w:rPr>
          <w:rFonts w:hint="eastAsia"/>
        </w:rPr>
        <w:t>章节。</w:t>
      </w:r>
    </w:p>
    <w:p>
      <w:pPr>
        <w:pStyle w:val="4"/>
      </w:pPr>
      <w:bookmarkStart w:id="27" w:name="_Toc72145221"/>
      <w:r>
        <w:rPr>
          <w:rFonts w:hint="eastAsia"/>
        </w:rPr>
        <w:t>专业组管理</w:t>
      </w:r>
      <w:bookmarkEnd w:id="27"/>
    </w:p>
    <w:p>
      <w:pPr>
        <w:pStyle w:val="38"/>
        <w:ind w:firstLine="480"/>
      </w:pPr>
      <w:r>
        <w:rPr>
          <w:rFonts w:hint="eastAsia"/>
        </w:rPr>
        <w:t>超管账号登陆系统后可在【专业组管理】页面新建或删除专家的专业组类别（图2</w:t>
      </w:r>
      <w:r>
        <w:t>5</w:t>
      </w:r>
      <w:r>
        <w:rPr>
          <w:rFonts w:hint="eastAsia"/>
        </w:rPr>
        <w:t>）。</w:t>
      </w:r>
    </w:p>
    <w:p>
      <w:r>
        <w:drawing>
          <wp:inline distT="0" distB="0" distL="0" distR="0">
            <wp:extent cx="5274310" cy="2608580"/>
            <wp:effectExtent l="0" t="0" r="254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274310" cy="2608580"/>
                    </a:xfrm>
                    <a:prstGeom prst="rect">
                      <a:avLst/>
                    </a:prstGeom>
                  </pic:spPr>
                </pic:pic>
              </a:graphicData>
            </a:graphic>
          </wp:inline>
        </w:drawing>
      </w:r>
    </w:p>
    <w:p>
      <w:pPr>
        <w:pStyle w:val="44"/>
        <w:spacing w:after="312"/>
      </w:pPr>
      <w:r>
        <w:rPr>
          <w:rFonts w:hint="eastAsia"/>
        </w:rPr>
        <w:t>超管账号专业组管理页</w:t>
      </w:r>
    </w:p>
    <w:p>
      <w:pPr>
        <w:pStyle w:val="4"/>
      </w:pPr>
      <w:bookmarkStart w:id="28" w:name="_Toc72145222"/>
      <w:r>
        <w:rPr>
          <w:rFonts w:hint="eastAsia"/>
        </w:rPr>
        <w:t>专家管理</w:t>
      </w:r>
      <w:bookmarkEnd w:id="28"/>
    </w:p>
    <w:p>
      <w:pPr>
        <w:pStyle w:val="38"/>
        <w:ind w:firstLine="480"/>
      </w:pPr>
      <w:r>
        <w:rPr>
          <w:rFonts w:hint="eastAsia"/>
        </w:rPr>
        <w:t>超管账号登陆系统后可在【专家管理】页面录入和删除专家信息（图2</w:t>
      </w:r>
      <w:r>
        <w:t>6</w:t>
      </w:r>
      <w:r>
        <w:rPr>
          <w:rFonts w:hint="eastAsia"/>
        </w:rPr>
        <w:t>），同时也可在该页面进行批量导入专家信息和上传专家附件资料。批量导入专家信息可下载模板，根据模板填写需导入的专家信息，然后点击【信息导入】按钮进行批量导入专家信息。上传专家附件资料可下载附件导入说明，然后根据说明进行专家附件资料导入（图2</w:t>
      </w:r>
      <w:r>
        <w:t>7</w:t>
      </w:r>
      <w:r>
        <w:rPr>
          <w:rFonts w:hint="eastAsia"/>
        </w:rPr>
        <w:t>）。</w:t>
      </w:r>
    </w:p>
    <w:p>
      <w:r>
        <w:drawing>
          <wp:inline distT="0" distB="0" distL="0" distR="0">
            <wp:extent cx="5274310" cy="26276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274310" cy="2627630"/>
                    </a:xfrm>
                    <a:prstGeom prst="rect">
                      <a:avLst/>
                    </a:prstGeom>
                  </pic:spPr>
                </pic:pic>
              </a:graphicData>
            </a:graphic>
          </wp:inline>
        </w:drawing>
      </w:r>
    </w:p>
    <w:p>
      <w:pPr>
        <w:pStyle w:val="44"/>
        <w:spacing w:after="312"/>
      </w:pPr>
      <w:r>
        <w:rPr>
          <w:rFonts w:hint="eastAsia"/>
        </w:rPr>
        <w:t>超管账号专家信息导入和删除页</w:t>
      </w:r>
    </w:p>
    <w:p>
      <w:r>
        <w:drawing>
          <wp:inline distT="0" distB="0" distL="0" distR="0">
            <wp:extent cx="5274310" cy="262763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274310" cy="2627630"/>
                    </a:xfrm>
                    <a:prstGeom prst="rect">
                      <a:avLst/>
                    </a:prstGeom>
                  </pic:spPr>
                </pic:pic>
              </a:graphicData>
            </a:graphic>
          </wp:inline>
        </w:drawing>
      </w:r>
    </w:p>
    <w:p>
      <w:pPr>
        <w:pStyle w:val="44"/>
        <w:spacing w:after="312"/>
      </w:pPr>
      <w:r>
        <w:rPr>
          <w:rFonts w:hint="eastAsia"/>
        </w:rPr>
        <w:t>超管账号批量导入专家信息和附件资料页</w:t>
      </w:r>
    </w:p>
    <w:p/>
    <w:p>
      <w:r>
        <w:br w:type="page"/>
      </w:r>
    </w:p>
    <w:p>
      <w:pPr>
        <w:pStyle w:val="4"/>
      </w:pPr>
      <w:bookmarkStart w:id="29" w:name="_Toc72145223"/>
      <w:r>
        <w:rPr>
          <w:rFonts w:hint="eastAsia"/>
        </w:rPr>
        <w:t>审批管理</w:t>
      </w:r>
      <w:bookmarkEnd w:id="29"/>
    </w:p>
    <w:p>
      <w:pPr>
        <w:pStyle w:val="38"/>
        <w:ind w:firstLine="480"/>
      </w:pPr>
      <w:r>
        <w:rPr>
          <w:rFonts w:hint="eastAsia"/>
        </w:rPr>
        <w:t>超管账号的审批管理操作流程同审批账号的审批管理操作流程相同，具体见3</w:t>
      </w:r>
      <w:r>
        <w:t>.3.1-3.3.3</w:t>
      </w:r>
      <w:r>
        <w:rPr>
          <w:rFonts w:hint="eastAsia"/>
        </w:rPr>
        <w:t>章节。</w:t>
      </w:r>
    </w:p>
    <w:p>
      <w:pPr>
        <w:pStyle w:val="4"/>
      </w:pPr>
      <w:bookmarkStart w:id="30" w:name="_Toc72145224"/>
      <w:r>
        <w:rPr>
          <w:rFonts w:hint="eastAsia"/>
        </w:rPr>
        <w:t>发布通知</w:t>
      </w:r>
      <w:bookmarkEnd w:id="30"/>
    </w:p>
    <w:p>
      <w:pPr>
        <w:pStyle w:val="38"/>
        <w:ind w:firstLine="480"/>
      </w:pPr>
      <w:r>
        <w:rPr>
          <w:rFonts w:hint="eastAsia"/>
        </w:rPr>
        <w:t>超管账号登陆系统后可在【发布通知】页查看发布的通知，也可给部分或者全部专家发布通知，发布通知的同时还可上传通知附件。具体流程为点击【发布通知】按钮进入发布通知页面（图2</w:t>
      </w:r>
      <w:r>
        <w:t>8</w:t>
      </w:r>
      <w:r>
        <w:rPr>
          <w:rFonts w:hint="eastAsia"/>
        </w:rPr>
        <w:t>），然后点击新建按钮进入通知发布编辑页面，填写通知主题、通知内容，根据需要上传通知附件，然后选择需要查看该通知的专家，最后点击【发布】按钮即可完成通知发布（图2</w:t>
      </w:r>
      <w:r>
        <w:t>9</w:t>
      </w:r>
      <w:r>
        <w:rPr>
          <w:rFonts w:hint="eastAsia"/>
        </w:rPr>
        <w:t>）。</w:t>
      </w:r>
    </w:p>
    <w:p>
      <w:r>
        <w:drawing>
          <wp:inline distT="0" distB="0" distL="0" distR="0">
            <wp:extent cx="5274310" cy="2627630"/>
            <wp:effectExtent l="0" t="0" r="254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5274310" cy="2627630"/>
                    </a:xfrm>
                    <a:prstGeom prst="rect">
                      <a:avLst/>
                    </a:prstGeom>
                  </pic:spPr>
                </pic:pic>
              </a:graphicData>
            </a:graphic>
          </wp:inline>
        </w:drawing>
      </w:r>
    </w:p>
    <w:p>
      <w:pPr>
        <w:pStyle w:val="44"/>
        <w:spacing w:after="0" w:afterLines="0"/>
      </w:pPr>
      <w:r>
        <w:rPr>
          <w:rFonts w:hint="eastAsia"/>
        </w:rPr>
        <w:t>超管账号发布通知页</w:t>
      </w:r>
    </w:p>
    <w:p>
      <w:r>
        <w:drawing>
          <wp:inline distT="0" distB="0" distL="0" distR="0">
            <wp:extent cx="5274310" cy="261683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5274310" cy="2616835"/>
                    </a:xfrm>
                    <a:prstGeom prst="rect">
                      <a:avLst/>
                    </a:prstGeom>
                  </pic:spPr>
                </pic:pic>
              </a:graphicData>
            </a:graphic>
          </wp:inline>
        </w:drawing>
      </w:r>
    </w:p>
    <w:p>
      <w:pPr>
        <w:pStyle w:val="44"/>
        <w:spacing w:after="0" w:afterLines="0"/>
      </w:pPr>
      <w:r>
        <w:rPr>
          <w:rFonts w:hint="eastAsia"/>
        </w:rPr>
        <w:t>超管账号通知编辑页</w:t>
      </w:r>
    </w:p>
    <w:p>
      <w:pPr>
        <w:pStyle w:val="4"/>
      </w:pPr>
      <w:bookmarkStart w:id="31" w:name="_Toc72145225"/>
      <w:r>
        <w:rPr>
          <w:rFonts w:hint="eastAsia"/>
        </w:rPr>
        <w:t>日志管理</w:t>
      </w:r>
      <w:bookmarkEnd w:id="31"/>
    </w:p>
    <w:p>
      <w:pPr>
        <w:pStyle w:val="38"/>
        <w:ind w:firstLine="480"/>
      </w:pPr>
      <w:r>
        <w:rPr>
          <w:rFonts w:hint="eastAsia"/>
        </w:rPr>
        <w:t>超管账号的日志管理操作流程同运维账号的日志管理操作流程相同，具体见3</w:t>
      </w:r>
      <w:r>
        <w:t>.3.2</w:t>
      </w:r>
      <w:r>
        <w:rPr>
          <w:rFonts w:hint="eastAsia"/>
        </w:rPr>
        <w:t>章节。</w:t>
      </w:r>
    </w:p>
    <w:p>
      <w:pPr>
        <w:pStyle w:val="4"/>
      </w:pPr>
      <w:bookmarkStart w:id="32" w:name="_Toc72145226"/>
      <w:r>
        <w:rPr>
          <w:rFonts w:hint="eastAsia"/>
        </w:rPr>
        <w:t>系统设置</w:t>
      </w:r>
      <w:bookmarkEnd w:id="32"/>
    </w:p>
    <w:p>
      <w:pPr>
        <w:pStyle w:val="38"/>
        <w:ind w:firstLine="480"/>
      </w:pPr>
      <w:r>
        <w:rPr>
          <w:rFonts w:hint="eastAsia"/>
        </w:rPr>
        <w:t>超管账号登陆系统后可在【系统设置】页打开或关闭专家注册开关（图3</w:t>
      </w:r>
      <w:r>
        <w:t>0</w:t>
      </w:r>
      <w:r>
        <w:rPr>
          <w:rFonts w:hint="eastAsia"/>
        </w:rPr>
        <w:t>）。</w:t>
      </w:r>
    </w:p>
    <w:p>
      <w:r>
        <w:drawing>
          <wp:inline distT="0" distB="0" distL="0" distR="0">
            <wp:extent cx="5274310" cy="260985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stretch>
                      <a:fillRect/>
                    </a:stretch>
                  </pic:blipFill>
                  <pic:spPr>
                    <a:xfrm>
                      <a:off x="0" y="0"/>
                      <a:ext cx="5274310" cy="2609850"/>
                    </a:xfrm>
                    <a:prstGeom prst="rect">
                      <a:avLst/>
                    </a:prstGeom>
                  </pic:spPr>
                </pic:pic>
              </a:graphicData>
            </a:graphic>
          </wp:inline>
        </w:drawing>
      </w:r>
    </w:p>
    <w:p>
      <w:pPr>
        <w:pStyle w:val="44"/>
        <w:spacing w:after="312"/>
      </w:pPr>
      <w:r>
        <w:rPr>
          <w:rFonts w:hint="eastAsia"/>
        </w:rPr>
        <w:t>超管账号系统设置页</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1721836"/>
    </w:sdtPr>
    <w:sdtContent>
      <w:p>
        <w:pPr>
          <w:pStyle w:val="17"/>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2112011"/>
    </w:sdtPr>
    <w:sdtContent>
      <w:p>
        <w:pPr>
          <w:pStyle w:val="17"/>
          <w:jc w:val="cente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05486"/>
    <w:multiLevelType w:val="multilevel"/>
    <w:tmpl w:val="19F05486"/>
    <w:lvl w:ilvl="0" w:tentative="0">
      <w:start w:val="1"/>
      <w:numFmt w:val="decimal"/>
      <w:pStyle w:val="44"/>
      <w:lvlText w:val="图%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6F5D7E"/>
    <w:multiLevelType w:val="multilevel"/>
    <w:tmpl w:val="1A6F5D7E"/>
    <w:lvl w:ilvl="0" w:tentative="0">
      <w:start w:val="1"/>
      <w:numFmt w:val="decimal"/>
      <w:pStyle w:val="2"/>
      <w:suff w:val="space"/>
      <w:lvlText w:val="%1、"/>
      <w:lvlJc w:val="left"/>
      <w:pPr>
        <w:ind w:left="0" w:firstLine="0"/>
      </w:pPr>
      <w:rPr>
        <w:rFonts w:hint="eastAsia" w:ascii="宋体" w:hAnsi="宋体" w:eastAsia="宋体"/>
        <w:b/>
        <w:i w:val="0"/>
        <w:sz w:val="36"/>
        <w:szCs w:val="36"/>
      </w:rPr>
    </w:lvl>
    <w:lvl w:ilvl="1" w:tentative="0">
      <w:start w:val="1"/>
      <w:numFmt w:val="decimal"/>
      <w:pStyle w:val="3"/>
      <w:suff w:val="space"/>
      <w:lvlText w:val="%1.%2、"/>
      <w:lvlJc w:val="left"/>
      <w:pPr>
        <w:ind w:left="0" w:firstLine="0"/>
      </w:pPr>
      <w:rPr>
        <w:rFonts w:hint="default" w:ascii="宋体" w:hAnsi="宋体" w:eastAsia="宋体"/>
        <w:b/>
        <w:i w:val="0"/>
        <w:sz w:val="28"/>
        <w:szCs w:val="28"/>
      </w:rPr>
    </w:lvl>
    <w:lvl w:ilvl="2" w:tentative="0">
      <w:start w:val="1"/>
      <w:numFmt w:val="decimal"/>
      <w:pStyle w:val="4"/>
      <w:suff w:val="space"/>
      <w:lvlText w:val="%1.%2.%3、"/>
      <w:lvlJc w:val="left"/>
      <w:pPr>
        <w:ind w:left="0" w:firstLine="0"/>
      </w:pPr>
      <w:rPr>
        <w:rFonts w:hint="default" w:ascii="宋体" w:hAnsi="宋体" w:eastAsia="宋体"/>
        <w:b/>
        <w:i w:val="0"/>
        <w:sz w:val="24"/>
        <w:szCs w:val="24"/>
      </w:rPr>
    </w:lvl>
    <w:lvl w:ilvl="3" w:tentative="0">
      <w:start w:val="1"/>
      <w:numFmt w:val="decimal"/>
      <w:pStyle w:val="5"/>
      <w:suff w:val="space"/>
      <w:lvlText w:val="%1.%2.%3.%4、"/>
      <w:lvlJc w:val="left"/>
      <w:pPr>
        <w:ind w:left="0" w:firstLine="0"/>
      </w:pPr>
      <w:rPr>
        <w:rFonts w:hint="default" w:ascii="宋体" w:hAnsi="宋体" w:eastAsia="宋体"/>
        <w:b/>
        <w:i w:val="0"/>
        <w:sz w:val="24"/>
        <w:szCs w:val="24"/>
      </w:rPr>
    </w:lvl>
    <w:lvl w:ilvl="4" w:tentative="0">
      <w:start w:val="1"/>
      <w:numFmt w:val="decimal"/>
      <w:pStyle w:val="6"/>
      <w:suff w:val="space"/>
      <w:lvlText w:val="%1.%2.%3.%4.%5、"/>
      <w:lvlJc w:val="left"/>
      <w:pPr>
        <w:ind w:left="0" w:firstLine="0"/>
      </w:pPr>
      <w:rPr>
        <w:rFonts w:hint="default" w:ascii="宋体" w:hAnsi="宋体" w:eastAsia="宋体"/>
        <w:b/>
        <w:i w:val="0"/>
        <w:sz w:val="24"/>
        <w:szCs w:val="24"/>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4C5B02D2"/>
    <w:multiLevelType w:val="multilevel"/>
    <w:tmpl w:val="4C5B02D2"/>
    <w:lvl w:ilvl="0" w:tentative="0">
      <w:start w:val="1"/>
      <w:numFmt w:val="decimal"/>
      <w:pStyle w:val="46"/>
      <w:lvlText w:val="表%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00433C8"/>
    <w:multiLevelType w:val="multilevel"/>
    <w:tmpl w:val="600433C8"/>
    <w:lvl w:ilvl="0" w:tentative="0">
      <w:start w:val="1"/>
      <w:numFmt w:val="chineseCountingThousand"/>
      <w:pStyle w:val="25"/>
      <w:lvlText w:val="%1、"/>
      <w:lvlJc w:val="left"/>
      <w:pPr>
        <w:ind w:left="420" w:hanging="420"/>
      </w:pPr>
      <w:rPr>
        <w:rFonts w:ascii="宋体" w:hAnsi="宋体" w:eastAsia="宋体"/>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325204A"/>
    <w:multiLevelType w:val="multilevel"/>
    <w:tmpl w:val="7325204A"/>
    <w:lvl w:ilvl="0" w:tentative="0">
      <w:start w:val="1"/>
      <w:numFmt w:val="decimal"/>
      <w:pStyle w:val="59"/>
      <w:lvlText w:val="图%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FA3"/>
    <w:rsid w:val="00003AF8"/>
    <w:rsid w:val="000067B7"/>
    <w:rsid w:val="000207F1"/>
    <w:rsid w:val="00020990"/>
    <w:rsid w:val="000553C3"/>
    <w:rsid w:val="0006014C"/>
    <w:rsid w:val="00064867"/>
    <w:rsid w:val="00083E19"/>
    <w:rsid w:val="00091936"/>
    <w:rsid w:val="00097C2F"/>
    <w:rsid w:val="000A0160"/>
    <w:rsid w:val="000B1D9F"/>
    <w:rsid w:val="000C5FEA"/>
    <w:rsid w:val="000E012E"/>
    <w:rsid w:val="000F3BB8"/>
    <w:rsid w:val="000F45C2"/>
    <w:rsid w:val="000F6C6E"/>
    <w:rsid w:val="00127D2A"/>
    <w:rsid w:val="00160876"/>
    <w:rsid w:val="00165087"/>
    <w:rsid w:val="001713A8"/>
    <w:rsid w:val="001722AA"/>
    <w:rsid w:val="00180E7E"/>
    <w:rsid w:val="00181E8C"/>
    <w:rsid w:val="0019663A"/>
    <w:rsid w:val="001B38B5"/>
    <w:rsid w:val="001B460C"/>
    <w:rsid w:val="001B46E5"/>
    <w:rsid w:val="001E0763"/>
    <w:rsid w:val="001E28A3"/>
    <w:rsid w:val="001E4ACF"/>
    <w:rsid w:val="001F205A"/>
    <w:rsid w:val="001F368A"/>
    <w:rsid w:val="002461E9"/>
    <w:rsid w:val="002704D7"/>
    <w:rsid w:val="00291016"/>
    <w:rsid w:val="00291529"/>
    <w:rsid w:val="00293570"/>
    <w:rsid w:val="00293D15"/>
    <w:rsid w:val="002A7D55"/>
    <w:rsid w:val="002B277C"/>
    <w:rsid w:val="002C2A96"/>
    <w:rsid w:val="002D4AD9"/>
    <w:rsid w:val="002D5CF9"/>
    <w:rsid w:val="002E1E85"/>
    <w:rsid w:val="002E4409"/>
    <w:rsid w:val="002F107D"/>
    <w:rsid w:val="002F5167"/>
    <w:rsid w:val="002F5875"/>
    <w:rsid w:val="002F703F"/>
    <w:rsid w:val="003055A5"/>
    <w:rsid w:val="00344682"/>
    <w:rsid w:val="003474A8"/>
    <w:rsid w:val="0037304B"/>
    <w:rsid w:val="003B4B17"/>
    <w:rsid w:val="003B6BB4"/>
    <w:rsid w:val="003B74DF"/>
    <w:rsid w:val="003C1AC1"/>
    <w:rsid w:val="003D2ECE"/>
    <w:rsid w:val="003E29F0"/>
    <w:rsid w:val="003E79DD"/>
    <w:rsid w:val="003F6A1B"/>
    <w:rsid w:val="00433BB1"/>
    <w:rsid w:val="00437AD9"/>
    <w:rsid w:val="00445B41"/>
    <w:rsid w:val="00455815"/>
    <w:rsid w:val="00455C3C"/>
    <w:rsid w:val="00467B9C"/>
    <w:rsid w:val="00475A95"/>
    <w:rsid w:val="004769C6"/>
    <w:rsid w:val="00477677"/>
    <w:rsid w:val="00484E33"/>
    <w:rsid w:val="00487446"/>
    <w:rsid w:val="00490C8B"/>
    <w:rsid w:val="0049120F"/>
    <w:rsid w:val="004A39CF"/>
    <w:rsid w:val="004A7AA4"/>
    <w:rsid w:val="004B189D"/>
    <w:rsid w:val="004B5746"/>
    <w:rsid w:val="004C023B"/>
    <w:rsid w:val="004C104C"/>
    <w:rsid w:val="004C66D3"/>
    <w:rsid w:val="004D3661"/>
    <w:rsid w:val="004E72CF"/>
    <w:rsid w:val="004F4828"/>
    <w:rsid w:val="00502FA3"/>
    <w:rsid w:val="00504820"/>
    <w:rsid w:val="005062B2"/>
    <w:rsid w:val="0050636C"/>
    <w:rsid w:val="00526D98"/>
    <w:rsid w:val="005273E0"/>
    <w:rsid w:val="00547D56"/>
    <w:rsid w:val="005534E1"/>
    <w:rsid w:val="005622C3"/>
    <w:rsid w:val="00564E71"/>
    <w:rsid w:val="0058106D"/>
    <w:rsid w:val="00587AC4"/>
    <w:rsid w:val="00592C5B"/>
    <w:rsid w:val="005C2E6F"/>
    <w:rsid w:val="005C753A"/>
    <w:rsid w:val="005D0D7A"/>
    <w:rsid w:val="005E53EA"/>
    <w:rsid w:val="005E6487"/>
    <w:rsid w:val="005E68F2"/>
    <w:rsid w:val="005F2755"/>
    <w:rsid w:val="0061439C"/>
    <w:rsid w:val="00616846"/>
    <w:rsid w:val="00617603"/>
    <w:rsid w:val="006179E5"/>
    <w:rsid w:val="00643AE3"/>
    <w:rsid w:val="00645574"/>
    <w:rsid w:val="00657D65"/>
    <w:rsid w:val="00671385"/>
    <w:rsid w:val="00672406"/>
    <w:rsid w:val="00673E49"/>
    <w:rsid w:val="00680FF5"/>
    <w:rsid w:val="00687B86"/>
    <w:rsid w:val="006B1932"/>
    <w:rsid w:val="006C104C"/>
    <w:rsid w:val="006C1DA4"/>
    <w:rsid w:val="006C3E67"/>
    <w:rsid w:val="006D1A04"/>
    <w:rsid w:val="006E44BD"/>
    <w:rsid w:val="006E7DCC"/>
    <w:rsid w:val="00702A8D"/>
    <w:rsid w:val="00702E01"/>
    <w:rsid w:val="007033B6"/>
    <w:rsid w:val="007075D1"/>
    <w:rsid w:val="007122D3"/>
    <w:rsid w:val="007133B2"/>
    <w:rsid w:val="00714AAB"/>
    <w:rsid w:val="007175A8"/>
    <w:rsid w:val="007222CB"/>
    <w:rsid w:val="00722BC4"/>
    <w:rsid w:val="00732047"/>
    <w:rsid w:val="00732A7F"/>
    <w:rsid w:val="007353B0"/>
    <w:rsid w:val="007866A2"/>
    <w:rsid w:val="00786CD3"/>
    <w:rsid w:val="007A7286"/>
    <w:rsid w:val="007B0092"/>
    <w:rsid w:val="007B0FD6"/>
    <w:rsid w:val="007D30D4"/>
    <w:rsid w:val="007E3945"/>
    <w:rsid w:val="008006F8"/>
    <w:rsid w:val="00806778"/>
    <w:rsid w:val="00812771"/>
    <w:rsid w:val="00812BBE"/>
    <w:rsid w:val="00841184"/>
    <w:rsid w:val="0084123A"/>
    <w:rsid w:val="008602B3"/>
    <w:rsid w:val="00861A86"/>
    <w:rsid w:val="00885BA8"/>
    <w:rsid w:val="00893277"/>
    <w:rsid w:val="008C0AA5"/>
    <w:rsid w:val="008C1F98"/>
    <w:rsid w:val="008D1302"/>
    <w:rsid w:val="008E328B"/>
    <w:rsid w:val="008E52A8"/>
    <w:rsid w:val="008F10F4"/>
    <w:rsid w:val="00916DBB"/>
    <w:rsid w:val="0091711D"/>
    <w:rsid w:val="009241A9"/>
    <w:rsid w:val="00944A75"/>
    <w:rsid w:val="00945182"/>
    <w:rsid w:val="00961924"/>
    <w:rsid w:val="00973666"/>
    <w:rsid w:val="00974CEB"/>
    <w:rsid w:val="00980A45"/>
    <w:rsid w:val="00982695"/>
    <w:rsid w:val="009826B0"/>
    <w:rsid w:val="00983786"/>
    <w:rsid w:val="00990109"/>
    <w:rsid w:val="00993074"/>
    <w:rsid w:val="00994142"/>
    <w:rsid w:val="00995162"/>
    <w:rsid w:val="009A0943"/>
    <w:rsid w:val="009A29D8"/>
    <w:rsid w:val="009B050A"/>
    <w:rsid w:val="009C194D"/>
    <w:rsid w:val="009C58E6"/>
    <w:rsid w:val="009C66DB"/>
    <w:rsid w:val="009F220C"/>
    <w:rsid w:val="00A10CEE"/>
    <w:rsid w:val="00A213B2"/>
    <w:rsid w:val="00A223CB"/>
    <w:rsid w:val="00A32811"/>
    <w:rsid w:val="00A375B4"/>
    <w:rsid w:val="00A42450"/>
    <w:rsid w:val="00A42806"/>
    <w:rsid w:val="00A523AF"/>
    <w:rsid w:val="00A52822"/>
    <w:rsid w:val="00A55F9B"/>
    <w:rsid w:val="00A62F74"/>
    <w:rsid w:val="00A67D78"/>
    <w:rsid w:val="00A8370D"/>
    <w:rsid w:val="00A905BD"/>
    <w:rsid w:val="00A9388B"/>
    <w:rsid w:val="00A94860"/>
    <w:rsid w:val="00AD4C80"/>
    <w:rsid w:val="00AD6491"/>
    <w:rsid w:val="00AD6BCD"/>
    <w:rsid w:val="00AE040A"/>
    <w:rsid w:val="00AE7889"/>
    <w:rsid w:val="00AF694E"/>
    <w:rsid w:val="00B07D6D"/>
    <w:rsid w:val="00B25CF9"/>
    <w:rsid w:val="00B452BA"/>
    <w:rsid w:val="00B5362F"/>
    <w:rsid w:val="00B65697"/>
    <w:rsid w:val="00B663AF"/>
    <w:rsid w:val="00B7361A"/>
    <w:rsid w:val="00B76C74"/>
    <w:rsid w:val="00B9343B"/>
    <w:rsid w:val="00BA2A0B"/>
    <w:rsid w:val="00BB1E5D"/>
    <w:rsid w:val="00BB228B"/>
    <w:rsid w:val="00BB47D9"/>
    <w:rsid w:val="00BB51F0"/>
    <w:rsid w:val="00BC0080"/>
    <w:rsid w:val="00BD0DC2"/>
    <w:rsid w:val="00BD3A2B"/>
    <w:rsid w:val="00C24F34"/>
    <w:rsid w:val="00C3467D"/>
    <w:rsid w:val="00C37EBF"/>
    <w:rsid w:val="00C4730E"/>
    <w:rsid w:val="00C751B4"/>
    <w:rsid w:val="00C80E9F"/>
    <w:rsid w:val="00C82B95"/>
    <w:rsid w:val="00C90624"/>
    <w:rsid w:val="00CA1235"/>
    <w:rsid w:val="00CB60C5"/>
    <w:rsid w:val="00CC1D90"/>
    <w:rsid w:val="00CC7B60"/>
    <w:rsid w:val="00CF0733"/>
    <w:rsid w:val="00CF4D99"/>
    <w:rsid w:val="00CF58C6"/>
    <w:rsid w:val="00D040DA"/>
    <w:rsid w:val="00D10E63"/>
    <w:rsid w:val="00D12C13"/>
    <w:rsid w:val="00D27EEB"/>
    <w:rsid w:val="00D31DD3"/>
    <w:rsid w:val="00D41E4C"/>
    <w:rsid w:val="00D467F3"/>
    <w:rsid w:val="00D54924"/>
    <w:rsid w:val="00D63FA9"/>
    <w:rsid w:val="00D664C6"/>
    <w:rsid w:val="00D72733"/>
    <w:rsid w:val="00D72E6D"/>
    <w:rsid w:val="00D75BE4"/>
    <w:rsid w:val="00D76629"/>
    <w:rsid w:val="00D86154"/>
    <w:rsid w:val="00DA6985"/>
    <w:rsid w:val="00DB5FE1"/>
    <w:rsid w:val="00DD3A1F"/>
    <w:rsid w:val="00DD56B2"/>
    <w:rsid w:val="00DE07B0"/>
    <w:rsid w:val="00DE70E4"/>
    <w:rsid w:val="00E0232D"/>
    <w:rsid w:val="00E11F33"/>
    <w:rsid w:val="00E149CD"/>
    <w:rsid w:val="00E15C95"/>
    <w:rsid w:val="00E21AB5"/>
    <w:rsid w:val="00E311DA"/>
    <w:rsid w:val="00E430B0"/>
    <w:rsid w:val="00E43D01"/>
    <w:rsid w:val="00E63D74"/>
    <w:rsid w:val="00E653D0"/>
    <w:rsid w:val="00E7400F"/>
    <w:rsid w:val="00E875E7"/>
    <w:rsid w:val="00EA44F4"/>
    <w:rsid w:val="00EB7E84"/>
    <w:rsid w:val="00EC346F"/>
    <w:rsid w:val="00EC72EC"/>
    <w:rsid w:val="00ED0237"/>
    <w:rsid w:val="00EE7CA5"/>
    <w:rsid w:val="00F00F02"/>
    <w:rsid w:val="00F021B3"/>
    <w:rsid w:val="00F035DA"/>
    <w:rsid w:val="00F21781"/>
    <w:rsid w:val="00F246CC"/>
    <w:rsid w:val="00F26C6B"/>
    <w:rsid w:val="00F40974"/>
    <w:rsid w:val="00F505F8"/>
    <w:rsid w:val="00F5313B"/>
    <w:rsid w:val="00F632ED"/>
    <w:rsid w:val="00F72605"/>
    <w:rsid w:val="00F729D6"/>
    <w:rsid w:val="00F76E4E"/>
    <w:rsid w:val="00F90C50"/>
    <w:rsid w:val="00F9675D"/>
    <w:rsid w:val="00F96E38"/>
    <w:rsid w:val="00F974EA"/>
    <w:rsid w:val="00FB09AA"/>
    <w:rsid w:val="00FB6323"/>
    <w:rsid w:val="00FC10AC"/>
    <w:rsid w:val="00FC3428"/>
    <w:rsid w:val="00FC3AFF"/>
    <w:rsid w:val="00FE17D0"/>
    <w:rsid w:val="00FE277F"/>
    <w:rsid w:val="00FF59B4"/>
    <w:rsid w:val="00FF6A0B"/>
    <w:rsid w:val="02944F6B"/>
    <w:rsid w:val="54262CFF"/>
    <w:rsid w:val="7863622E"/>
    <w:rsid w:val="7B6254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2"/>
    <w:qFormat/>
    <w:uiPriority w:val="9"/>
    <w:pPr>
      <w:keepNext/>
      <w:keepLines/>
      <w:numPr>
        <w:ilvl w:val="0"/>
        <w:numId w:val="1"/>
      </w:numPr>
      <w:spacing w:before="120" w:after="120" w:line="578" w:lineRule="auto"/>
      <w:outlineLvl w:val="0"/>
    </w:pPr>
    <w:rPr>
      <w:rFonts w:asciiTheme="minorHAnsi" w:hAnsiTheme="minorHAnsi"/>
      <w:b/>
      <w:bCs/>
      <w:kern w:val="44"/>
      <w:sz w:val="36"/>
      <w:szCs w:val="44"/>
    </w:rPr>
  </w:style>
  <w:style w:type="paragraph" w:styleId="3">
    <w:name w:val="heading 2"/>
    <w:basedOn w:val="1"/>
    <w:next w:val="1"/>
    <w:link w:val="33"/>
    <w:unhideWhenUsed/>
    <w:qFormat/>
    <w:uiPriority w:val="9"/>
    <w:pPr>
      <w:keepNext/>
      <w:keepLines/>
      <w:numPr>
        <w:ilvl w:val="1"/>
        <w:numId w:val="1"/>
      </w:numPr>
      <w:spacing w:before="100" w:after="100" w:line="415" w:lineRule="auto"/>
      <w:outlineLvl w:val="1"/>
    </w:pPr>
    <w:rPr>
      <w:rFonts w:asciiTheme="majorHAnsi" w:hAnsiTheme="majorHAnsi" w:cstheme="majorBidi"/>
      <w:b/>
      <w:bCs/>
      <w:sz w:val="28"/>
      <w:szCs w:val="32"/>
    </w:rPr>
  </w:style>
  <w:style w:type="paragraph" w:styleId="4">
    <w:name w:val="heading 3"/>
    <w:basedOn w:val="1"/>
    <w:next w:val="1"/>
    <w:link w:val="34"/>
    <w:unhideWhenUsed/>
    <w:qFormat/>
    <w:uiPriority w:val="9"/>
    <w:pPr>
      <w:keepNext/>
      <w:keepLines/>
      <w:numPr>
        <w:ilvl w:val="2"/>
        <w:numId w:val="1"/>
      </w:numPr>
      <w:spacing w:before="80" w:after="80" w:line="415" w:lineRule="auto"/>
      <w:outlineLvl w:val="2"/>
    </w:pPr>
    <w:rPr>
      <w:rFonts w:asciiTheme="minorHAnsi" w:hAnsiTheme="minorHAnsi"/>
      <w:b/>
      <w:bCs/>
      <w:sz w:val="24"/>
      <w:szCs w:val="32"/>
    </w:rPr>
  </w:style>
  <w:style w:type="paragraph" w:styleId="5">
    <w:name w:val="heading 4"/>
    <w:basedOn w:val="1"/>
    <w:next w:val="1"/>
    <w:link w:val="35"/>
    <w:unhideWhenUsed/>
    <w:qFormat/>
    <w:uiPriority w:val="9"/>
    <w:pPr>
      <w:keepNext/>
      <w:keepLines/>
      <w:numPr>
        <w:ilvl w:val="3"/>
        <w:numId w:val="1"/>
      </w:numPr>
      <w:spacing w:before="60" w:after="60" w:line="377" w:lineRule="auto"/>
      <w:outlineLvl w:val="3"/>
    </w:pPr>
    <w:rPr>
      <w:rFonts w:asciiTheme="majorHAnsi" w:hAnsiTheme="majorHAnsi" w:cstheme="majorBidi"/>
      <w:b/>
      <w:bCs/>
      <w:sz w:val="24"/>
      <w:szCs w:val="28"/>
    </w:rPr>
  </w:style>
  <w:style w:type="paragraph" w:styleId="6">
    <w:name w:val="heading 5"/>
    <w:basedOn w:val="1"/>
    <w:next w:val="1"/>
    <w:link w:val="36"/>
    <w:unhideWhenUsed/>
    <w:qFormat/>
    <w:uiPriority w:val="9"/>
    <w:pPr>
      <w:keepNext/>
      <w:keepLines/>
      <w:numPr>
        <w:ilvl w:val="4"/>
        <w:numId w:val="1"/>
      </w:numPr>
      <w:spacing w:before="40" w:after="40" w:line="377" w:lineRule="auto"/>
      <w:outlineLvl w:val="4"/>
    </w:pPr>
    <w:rPr>
      <w:rFonts w:asciiTheme="minorHAnsi" w:hAnsiTheme="minorHAnsi"/>
      <w:b/>
      <w:bCs/>
      <w:sz w:val="24"/>
      <w:szCs w:val="28"/>
    </w:rPr>
  </w:style>
  <w:style w:type="paragraph" w:styleId="7">
    <w:name w:val="heading 6"/>
    <w:basedOn w:val="1"/>
    <w:next w:val="1"/>
    <w:link w:val="37"/>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6">
    <w:name w:val="Default Paragraph Font"/>
    <w:semiHidden/>
    <w:unhideWhenUsed/>
    <w:uiPriority w:val="1"/>
  </w:style>
  <w:style w:type="table" w:default="1" w:styleId="30">
    <w:name w:val="Normal Table"/>
    <w:semiHidden/>
    <w:unhideWhenUsed/>
    <w:qFormat/>
    <w:uiPriority w:val="99"/>
    <w:tblPr>
      <w:tblLayout w:type="fixed"/>
      <w:tblCellMar>
        <w:top w:w="0" w:type="dxa"/>
        <w:left w:w="108" w:type="dxa"/>
        <w:bottom w:w="0" w:type="dxa"/>
        <w:right w:w="108" w:type="dxa"/>
      </w:tblCellMar>
    </w:tblPr>
  </w:style>
  <w:style w:type="paragraph" w:styleId="8">
    <w:name w:val="annotation subject"/>
    <w:basedOn w:val="9"/>
    <w:next w:val="9"/>
    <w:link w:val="68"/>
    <w:semiHidden/>
    <w:unhideWhenUsed/>
    <w:qFormat/>
    <w:uiPriority w:val="99"/>
    <w:rPr>
      <w:b/>
      <w:bCs/>
    </w:rPr>
  </w:style>
  <w:style w:type="paragraph" w:styleId="9">
    <w:name w:val="annotation text"/>
    <w:basedOn w:val="1"/>
    <w:link w:val="67"/>
    <w:semiHidden/>
    <w:unhideWhenUsed/>
    <w:qFormat/>
    <w:uiPriority w:val="99"/>
    <w:pPr>
      <w:jc w:val="left"/>
    </w:pPr>
  </w:style>
  <w:style w:type="paragraph" w:styleId="10">
    <w:name w:val="toc 7"/>
    <w:basedOn w:val="1"/>
    <w:next w:val="1"/>
    <w:unhideWhenUsed/>
    <w:qFormat/>
    <w:uiPriority w:val="39"/>
    <w:pPr>
      <w:ind w:left="2520" w:leftChars="1200"/>
    </w:pPr>
    <w:rPr>
      <w:rFonts w:asciiTheme="minorHAnsi" w:hAnsiTheme="minorHAnsi" w:eastAsiaTheme="minorEastAsia"/>
    </w:rPr>
  </w:style>
  <w:style w:type="paragraph" w:styleId="11">
    <w:name w:val="Body Text"/>
    <w:basedOn w:val="1"/>
    <w:link w:val="55"/>
    <w:qFormat/>
    <w:uiPriority w:val="1"/>
    <w:pPr>
      <w:autoSpaceDE w:val="0"/>
      <w:autoSpaceDN w:val="0"/>
      <w:adjustRightInd w:val="0"/>
      <w:ind w:left="142"/>
      <w:jc w:val="left"/>
    </w:pPr>
    <w:rPr>
      <w:rFonts w:ascii="仿宋" w:hAnsi="Times New Roman" w:eastAsia="仿宋" w:cs="仿宋"/>
      <w:kern w:val="0"/>
      <w:sz w:val="24"/>
      <w:szCs w:val="24"/>
    </w:rPr>
  </w:style>
  <w:style w:type="paragraph" w:styleId="12">
    <w:name w:val="toc 5"/>
    <w:basedOn w:val="1"/>
    <w:next w:val="1"/>
    <w:unhideWhenUsed/>
    <w:qFormat/>
    <w:uiPriority w:val="39"/>
    <w:pPr>
      <w:ind w:left="1680" w:leftChars="800"/>
    </w:pPr>
  </w:style>
  <w:style w:type="paragraph" w:styleId="13">
    <w:name w:val="toc 3"/>
    <w:basedOn w:val="1"/>
    <w:next w:val="1"/>
    <w:unhideWhenUsed/>
    <w:qFormat/>
    <w:uiPriority w:val="39"/>
    <w:pPr>
      <w:ind w:left="840" w:leftChars="400"/>
    </w:pPr>
  </w:style>
  <w:style w:type="paragraph" w:styleId="14">
    <w:name w:val="toc 8"/>
    <w:basedOn w:val="1"/>
    <w:next w:val="1"/>
    <w:unhideWhenUsed/>
    <w:qFormat/>
    <w:uiPriority w:val="39"/>
    <w:pPr>
      <w:ind w:left="2940" w:leftChars="1400"/>
    </w:pPr>
    <w:rPr>
      <w:rFonts w:asciiTheme="minorHAnsi" w:hAnsiTheme="minorHAnsi" w:eastAsiaTheme="minorEastAsia"/>
    </w:rPr>
  </w:style>
  <w:style w:type="paragraph" w:styleId="15">
    <w:name w:val="Date"/>
    <w:basedOn w:val="1"/>
    <w:next w:val="1"/>
    <w:link w:val="74"/>
    <w:qFormat/>
    <w:uiPriority w:val="0"/>
    <w:pPr>
      <w:ind w:left="100" w:leftChars="2500"/>
    </w:pPr>
    <w:rPr>
      <w:rFonts w:hAnsi="Calibri" w:cs="Times New Roman"/>
      <w:sz w:val="24"/>
      <w:szCs w:val="24"/>
    </w:rPr>
  </w:style>
  <w:style w:type="paragraph" w:styleId="16">
    <w:name w:val="Balloon Text"/>
    <w:basedOn w:val="1"/>
    <w:link w:val="58"/>
    <w:semiHidden/>
    <w:unhideWhenUsed/>
    <w:qFormat/>
    <w:uiPriority w:val="99"/>
    <w:rPr>
      <w:sz w:val="18"/>
      <w:szCs w:val="18"/>
    </w:rPr>
  </w:style>
  <w:style w:type="paragraph" w:styleId="17">
    <w:name w:val="footer"/>
    <w:basedOn w:val="1"/>
    <w:link w:val="50"/>
    <w:unhideWhenUsed/>
    <w:qFormat/>
    <w:uiPriority w:val="99"/>
    <w:pPr>
      <w:tabs>
        <w:tab w:val="center" w:pos="4153"/>
        <w:tab w:val="right" w:pos="8306"/>
      </w:tabs>
      <w:snapToGrid w:val="0"/>
      <w:jc w:val="left"/>
    </w:pPr>
    <w:rPr>
      <w:sz w:val="18"/>
      <w:szCs w:val="18"/>
    </w:rPr>
  </w:style>
  <w:style w:type="paragraph" w:styleId="18">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style>
  <w:style w:type="paragraph" w:styleId="21">
    <w:name w:val="toc 6"/>
    <w:basedOn w:val="1"/>
    <w:next w:val="1"/>
    <w:unhideWhenUsed/>
    <w:qFormat/>
    <w:uiPriority w:val="39"/>
    <w:pPr>
      <w:ind w:left="2100" w:leftChars="1000"/>
    </w:pPr>
    <w:rPr>
      <w:rFonts w:asciiTheme="minorHAnsi" w:hAnsiTheme="minorHAnsi" w:eastAsiaTheme="minorEastAsia"/>
    </w:r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rPr>
      <w:rFonts w:asciiTheme="minorHAnsi" w:hAnsiTheme="minorHAnsi" w:eastAsiaTheme="minorEastAsia"/>
    </w:rPr>
  </w:style>
  <w:style w:type="paragraph" w:styleId="24">
    <w:name w:val="Normal (Web)"/>
    <w:basedOn w:val="1"/>
    <w:unhideWhenUsed/>
    <w:qFormat/>
    <w:uiPriority w:val="0"/>
    <w:pPr>
      <w:widowControl/>
      <w:spacing w:before="100" w:beforeAutospacing="1" w:after="100" w:afterAutospacing="1"/>
      <w:jc w:val="left"/>
    </w:pPr>
    <w:rPr>
      <w:rFonts w:cs="宋体"/>
      <w:kern w:val="0"/>
      <w:sz w:val="24"/>
      <w:szCs w:val="24"/>
    </w:rPr>
  </w:style>
  <w:style w:type="paragraph" w:styleId="25">
    <w:name w:val="Title"/>
    <w:basedOn w:val="1"/>
    <w:next w:val="1"/>
    <w:link w:val="65"/>
    <w:qFormat/>
    <w:uiPriority w:val="10"/>
    <w:pPr>
      <w:numPr>
        <w:ilvl w:val="0"/>
        <w:numId w:val="2"/>
      </w:numPr>
      <w:tabs>
        <w:tab w:val="left" w:pos="360"/>
      </w:tabs>
      <w:spacing w:before="120" w:after="60" w:line="360" w:lineRule="auto"/>
      <w:ind w:left="0" w:firstLine="0"/>
      <w:jc w:val="center"/>
      <w:outlineLvl w:val="0"/>
    </w:pPr>
    <w:rPr>
      <w:rFonts w:asciiTheme="majorHAnsi" w:hAnsiTheme="majorHAnsi" w:cstheme="majorBidi"/>
      <w:b/>
      <w:bCs/>
      <w:sz w:val="32"/>
      <w:szCs w:val="32"/>
    </w:rPr>
  </w:style>
  <w:style w:type="character" w:styleId="27">
    <w:name w:val="Strong"/>
    <w:basedOn w:val="26"/>
    <w:qFormat/>
    <w:uiPriority w:val="22"/>
    <w:rPr>
      <w:b/>
      <w:bCs/>
    </w:rPr>
  </w:style>
  <w:style w:type="character" w:styleId="28">
    <w:name w:val="Hyperlink"/>
    <w:basedOn w:val="26"/>
    <w:unhideWhenUsed/>
    <w:qFormat/>
    <w:uiPriority w:val="99"/>
    <w:rPr>
      <w:color w:val="5F5F5F" w:themeColor="hyperlink"/>
      <w:u w:val="single"/>
      <w14:textFill>
        <w14:solidFill>
          <w14:schemeClr w14:val="hlink"/>
        </w14:solidFill>
      </w14:textFill>
    </w:rPr>
  </w:style>
  <w:style w:type="character" w:styleId="29">
    <w:name w:val="annotation reference"/>
    <w:basedOn w:val="26"/>
    <w:semiHidden/>
    <w:unhideWhenUsed/>
    <w:qFormat/>
    <w:uiPriority w:val="99"/>
    <w:rPr>
      <w:sz w:val="21"/>
      <w:szCs w:val="21"/>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2">
    <w:name w:val="标题 1 字符"/>
    <w:basedOn w:val="26"/>
    <w:link w:val="2"/>
    <w:qFormat/>
    <w:uiPriority w:val="9"/>
    <w:rPr>
      <w:rFonts w:eastAsia="宋体"/>
      <w:b/>
      <w:bCs/>
      <w:kern w:val="44"/>
      <w:sz w:val="36"/>
      <w:szCs w:val="44"/>
    </w:rPr>
  </w:style>
  <w:style w:type="character" w:customStyle="1" w:styleId="33">
    <w:name w:val="标题 2 字符"/>
    <w:basedOn w:val="26"/>
    <w:link w:val="3"/>
    <w:qFormat/>
    <w:uiPriority w:val="9"/>
    <w:rPr>
      <w:rFonts w:eastAsia="宋体" w:asciiTheme="majorHAnsi" w:hAnsiTheme="majorHAnsi" w:cstheme="majorBidi"/>
      <w:b/>
      <w:bCs/>
      <w:sz w:val="28"/>
      <w:szCs w:val="32"/>
    </w:rPr>
  </w:style>
  <w:style w:type="character" w:customStyle="1" w:styleId="34">
    <w:name w:val="标题 3 字符"/>
    <w:basedOn w:val="26"/>
    <w:link w:val="4"/>
    <w:qFormat/>
    <w:uiPriority w:val="9"/>
    <w:rPr>
      <w:rFonts w:eastAsia="宋体"/>
      <w:b/>
      <w:bCs/>
      <w:sz w:val="24"/>
      <w:szCs w:val="32"/>
    </w:rPr>
  </w:style>
  <w:style w:type="character" w:customStyle="1" w:styleId="35">
    <w:name w:val="标题 4 字符"/>
    <w:basedOn w:val="26"/>
    <w:link w:val="5"/>
    <w:qFormat/>
    <w:uiPriority w:val="9"/>
    <w:rPr>
      <w:rFonts w:eastAsia="宋体" w:asciiTheme="majorHAnsi" w:hAnsiTheme="majorHAnsi" w:cstheme="majorBidi"/>
      <w:b/>
      <w:bCs/>
      <w:sz w:val="24"/>
      <w:szCs w:val="28"/>
    </w:rPr>
  </w:style>
  <w:style w:type="character" w:customStyle="1" w:styleId="36">
    <w:name w:val="标题 5 字符"/>
    <w:basedOn w:val="26"/>
    <w:link w:val="6"/>
    <w:qFormat/>
    <w:uiPriority w:val="9"/>
    <w:rPr>
      <w:rFonts w:eastAsia="宋体"/>
      <w:b/>
      <w:bCs/>
      <w:sz w:val="24"/>
      <w:szCs w:val="28"/>
    </w:rPr>
  </w:style>
  <w:style w:type="character" w:customStyle="1" w:styleId="37">
    <w:name w:val="标题 6 字符"/>
    <w:basedOn w:val="26"/>
    <w:link w:val="7"/>
    <w:qFormat/>
    <w:uiPriority w:val="9"/>
    <w:rPr>
      <w:rFonts w:asciiTheme="majorHAnsi" w:hAnsiTheme="majorHAnsi" w:eastAsiaTheme="majorEastAsia" w:cstheme="majorBidi"/>
      <w:b/>
      <w:bCs/>
      <w:sz w:val="24"/>
      <w:szCs w:val="24"/>
    </w:rPr>
  </w:style>
  <w:style w:type="paragraph" w:customStyle="1" w:styleId="38">
    <w:name w:val="我的正文"/>
    <w:basedOn w:val="1"/>
    <w:link w:val="39"/>
    <w:qFormat/>
    <w:uiPriority w:val="0"/>
    <w:pPr>
      <w:spacing w:line="360" w:lineRule="auto"/>
      <w:ind w:firstLine="200" w:firstLineChars="200"/>
    </w:pPr>
    <w:rPr>
      <w:sz w:val="24"/>
    </w:rPr>
  </w:style>
  <w:style w:type="character" w:customStyle="1" w:styleId="39">
    <w:name w:val="我的正文 字符"/>
    <w:basedOn w:val="26"/>
    <w:link w:val="38"/>
    <w:qFormat/>
    <w:uiPriority w:val="0"/>
    <w:rPr>
      <w:rFonts w:ascii="宋体" w:hAnsi="宋体" w:eastAsia="宋体"/>
      <w:sz w:val="24"/>
    </w:rPr>
  </w:style>
  <w:style w:type="paragraph" w:customStyle="1" w:styleId="40">
    <w:name w:val="正文图片"/>
    <w:basedOn w:val="1"/>
    <w:next w:val="1"/>
    <w:link w:val="41"/>
    <w:qFormat/>
    <w:uiPriority w:val="0"/>
    <w:pPr>
      <w:jc w:val="center"/>
    </w:pPr>
  </w:style>
  <w:style w:type="character" w:customStyle="1" w:styleId="41">
    <w:name w:val="正文图片 字符"/>
    <w:basedOn w:val="26"/>
    <w:link w:val="40"/>
    <w:qFormat/>
    <w:uiPriority w:val="0"/>
    <w:rPr>
      <w:rFonts w:eastAsia="宋体"/>
    </w:rPr>
  </w:style>
  <w:style w:type="paragraph" w:customStyle="1" w:styleId="42">
    <w:name w:val="表头格式"/>
    <w:basedOn w:val="1"/>
    <w:next w:val="1"/>
    <w:link w:val="43"/>
    <w:qFormat/>
    <w:uiPriority w:val="0"/>
    <w:pPr>
      <w:jc w:val="center"/>
    </w:pPr>
    <w:rPr>
      <w:b/>
    </w:rPr>
  </w:style>
  <w:style w:type="character" w:customStyle="1" w:styleId="43">
    <w:name w:val="表头格式 字符"/>
    <w:basedOn w:val="26"/>
    <w:link w:val="42"/>
    <w:qFormat/>
    <w:uiPriority w:val="0"/>
    <w:rPr>
      <w:rFonts w:eastAsia="宋体"/>
      <w:b/>
    </w:rPr>
  </w:style>
  <w:style w:type="paragraph" w:customStyle="1" w:styleId="44">
    <w:name w:val="图片编号"/>
    <w:basedOn w:val="1"/>
    <w:next w:val="1"/>
    <w:link w:val="45"/>
    <w:qFormat/>
    <w:uiPriority w:val="0"/>
    <w:pPr>
      <w:numPr>
        <w:ilvl w:val="0"/>
        <w:numId w:val="3"/>
      </w:numPr>
      <w:spacing w:after="100" w:afterLines="100"/>
      <w:jc w:val="center"/>
    </w:pPr>
    <w:rPr>
      <w:b/>
    </w:rPr>
  </w:style>
  <w:style w:type="character" w:customStyle="1" w:styleId="45">
    <w:name w:val="图片编号 字符"/>
    <w:basedOn w:val="26"/>
    <w:link w:val="44"/>
    <w:qFormat/>
    <w:uiPriority w:val="0"/>
    <w:rPr>
      <w:rFonts w:ascii="宋体" w:hAnsi="宋体" w:eastAsia="宋体"/>
      <w:b/>
    </w:rPr>
  </w:style>
  <w:style w:type="paragraph" w:customStyle="1" w:styleId="46">
    <w:name w:val="表格编号"/>
    <w:basedOn w:val="1"/>
    <w:next w:val="1"/>
    <w:link w:val="47"/>
    <w:qFormat/>
    <w:uiPriority w:val="0"/>
    <w:pPr>
      <w:numPr>
        <w:ilvl w:val="0"/>
        <w:numId w:val="4"/>
      </w:numPr>
      <w:spacing w:line="360" w:lineRule="auto"/>
      <w:ind w:left="0" w:firstLine="0"/>
      <w:jc w:val="center"/>
    </w:pPr>
    <w:rPr>
      <w:b/>
    </w:rPr>
  </w:style>
  <w:style w:type="character" w:customStyle="1" w:styleId="47">
    <w:name w:val="表格编号 字符"/>
    <w:basedOn w:val="26"/>
    <w:link w:val="46"/>
    <w:qFormat/>
    <w:uiPriority w:val="0"/>
    <w:rPr>
      <w:rFonts w:ascii="宋体" w:hAnsi="宋体" w:eastAsia="宋体"/>
      <w:b/>
    </w:rPr>
  </w:style>
  <w:style w:type="paragraph" w:customStyle="1" w:styleId="48">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A6A6A6" w:themeColor="accent1" w:themeShade="BF"/>
      <w:kern w:val="0"/>
      <w:sz w:val="32"/>
      <w:szCs w:val="32"/>
    </w:rPr>
  </w:style>
  <w:style w:type="character" w:customStyle="1" w:styleId="49">
    <w:name w:val="页眉 字符"/>
    <w:basedOn w:val="26"/>
    <w:link w:val="18"/>
    <w:qFormat/>
    <w:uiPriority w:val="99"/>
    <w:rPr>
      <w:rFonts w:ascii="宋体" w:hAnsi="宋体" w:eastAsia="宋体"/>
      <w:sz w:val="18"/>
      <w:szCs w:val="18"/>
    </w:rPr>
  </w:style>
  <w:style w:type="character" w:customStyle="1" w:styleId="50">
    <w:name w:val="页脚 字符"/>
    <w:basedOn w:val="26"/>
    <w:link w:val="17"/>
    <w:qFormat/>
    <w:uiPriority w:val="99"/>
    <w:rPr>
      <w:rFonts w:ascii="宋体" w:hAnsi="宋体" w:eastAsia="宋体"/>
      <w:sz w:val="18"/>
      <w:szCs w:val="18"/>
    </w:rPr>
  </w:style>
  <w:style w:type="paragraph" w:customStyle="1" w:styleId="51">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paragraph" w:styleId="52">
    <w:name w:val="List Paragraph"/>
    <w:basedOn w:val="1"/>
    <w:link w:val="79"/>
    <w:qFormat/>
    <w:uiPriority w:val="34"/>
    <w:pPr>
      <w:ind w:firstLine="420" w:firstLineChars="200"/>
    </w:pPr>
  </w:style>
  <w:style w:type="paragraph" w:customStyle="1" w:styleId="53">
    <w:name w:val="文档正文"/>
    <w:basedOn w:val="1"/>
    <w:link w:val="54"/>
    <w:qFormat/>
    <w:uiPriority w:val="0"/>
    <w:pPr>
      <w:spacing w:line="480" w:lineRule="auto"/>
      <w:ind w:firstLine="200" w:firstLineChars="200"/>
    </w:pPr>
    <w:rPr>
      <w:rFonts w:asciiTheme="minorHAnsi" w:hAnsiTheme="minorHAnsi"/>
      <w:sz w:val="24"/>
    </w:rPr>
  </w:style>
  <w:style w:type="character" w:customStyle="1" w:styleId="54">
    <w:name w:val="文档正文 字符"/>
    <w:basedOn w:val="26"/>
    <w:link w:val="53"/>
    <w:qFormat/>
    <w:uiPriority w:val="0"/>
    <w:rPr>
      <w:rFonts w:eastAsia="宋体"/>
      <w:sz w:val="24"/>
    </w:rPr>
  </w:style>
  <w:style w:type="character" w:customStyle="1" w:styleId="55">
    <w:name w:val="正文文本 字符"/>
    <w:basedOn w:val="26"/>
    <w:link w:val="11"/>
    <w:qFormat/>
    <w:uiPriority w:val="1"/>
    <w:rPr>
      <w:rFonts w:ascii="仿宋" w:hAnsi="Times New Roman" w:eastAsia="仿宋" w:cs="仿宋"/>
      <w:kern w:val="0"/>
      <w:sz w:val="24"/>
      <w:szCs w:val="24"/>
    </w:rPr>
  </w:style>
  <w:style w:type="paragraph" w:customStyle="1" w:styleId="56">
    <w:name w:val="表头内容"/>
    <w:basedOn w:val="1"/>
    <w:link w:val="57"/>
    <w:qFormat/>
    <w:uiPriority w:val="0"/>
    <w:pPr>
      <w:jc w:val="center"/>
    </w:pPr>
    <w:rPr>
      <w:rFonts w:asciiTheme="minorHAnsi" w:hAnsiTheme="minorHAnsi"/>
      <w:b/>
    </w:rPr>
  </w:style>
  <w:style w:type="character" w:customStyle="1" w:styleId="57">
    <w:name w:val="表头内容 字符"/>
    <w:basedOn w:val="26"/>
    <w:link w:val="56"/>
    <w:qFormat/>
    <w:uiPriority w:val="0"/>
    <w:rPr>
      <w:rFonts w:eastAsia="宋体"/>
      <w:b/>
    </w:rPr>
  </w:style>
  <w:style w:type="character" w:customStyle="1" w:styleId="58">
    <w:name w:val="批注框文本 字符"/>
    <w:basedOn w:val="26"/>
    <w:link w:val="16"/>
    <w:semiHidden/>
    <w:qFormat/>
    <w:uiPriority w:val="99"/>
    <w:rPr>
      <w:rFonts w:ascii="宋体" w:hAnsi="宋体" w:eastAsia="宋体"/>
      <w:sz w:val="18"/>
      <w:szCs w:val="18"/>
    </w:rPr>
  </w:style>
  <w:style w:type="paragraph" w:customStyle="1" w:styleId="59">
    <w:name w:val="图片名称"/>
    <w:basedOn w:val="1"/>
    <w:next w:val="1"/>
    <w:link w:val="60"/>
    <w:qFormat/>
    <w:uiPriority w:val="0"/>
    <w:pPr>
      <w:numPr>
        <w:ilvl w:val="0"/>
        <w:numId w:val="5"/>
      </w:numPr>
      <w:spacing w:before="50" w:beforeLines="50" w:after="50" w:afterLines="50" w:line="360" w:lineRule="auto"/>
      <w:ind w:left="0" w:firstLine="0" w:firstLineChars="200"/>
      <w:jc w:val="center"/>
    </w:pPr>
    <w:rPr>
      <w:rFonts w:asciiTheme="minorHAnsi" w:hAnsiTheme="minorHAnsi"/>
      <w:b/>
    </w:rPr>
  </w:style>
  <w:style w:type="character" w:customStyle="1" w:styleId="60">
    <w:name w:val="图片名称 字符"/>
    <w:basedOn w:val="26"/>
    <w:link w:val="59"/>
    <w:qFormat/>
    <w:uiPriority w:val="0"/>
    <w:rPr>
      <w:rFonts w:eastAsia="宋体"/>
      <w:b/>
    </w:rPr>
  </w:style>
  <w:style w:type="paragraph" w:customStyle="1" w:styleId="61">
    <w:name w:val="Char1"/>
    <w:basedOn w:val="1"/>
    <w:qFormat/>
    <w:uiPriority w:val="0"/>
    <w:rPr>
      <w:rFonts w:ascii="Times New Roman" w:hAnsi="Times New Roman" w:cs="Times New Roman"/>
      <w:szCs w:val="24"/>
    </w:rPr>
  </w:style>
  <w:style w:type="paragraph" w:customStyle="1" w:styleId="62">
    <w:name w:val="编号"/>
    <w:basedOn w:val="1"/>
    <w:next w:val="52"/>
    <w:link w:val="63"/>
    <w:qFormat/>
    <w:uiPriority w:val="34"/>
    <w:pPr>
      <w:ind w:firstLine="420" w:firstLineChars="200"/>
    </w:pPr>
    <w:rPr>
      <w:rFonts w:ascii="Times New Roman" w:hAnsi="Times New Roman" w:cs="Times New Roman"/>
      <w:szCs w:val="24"/>
    </w:rPr>
  </w:style>
  <w:style w:type="character" w:customStyle="1" w:styleId="63">
    <w:name w:val="列出段落 Char"/>
    <w:link w:val="62"/>
    <w:locked/>
    <w:uiPriority w:val="34"/>
    <w:rPr>
      <w:rFonts w:ascii="Times New Roman" w:hAnsi="Times New Roman" w:eastAsia="宋体" w:cs="Times New Roman"/>
      <w:szCs w:val="24"/>
    </w:rPr>
  </w:style>
  <w:style w:type="paragraph" w:customStyle="1" w:styleId="64">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标题 字符"/>
    <w:basedOn w:val="26"/>
    <w:link w:val="25"/>
    <w:qFormat/>
    <w:uiPriority w:val="10"/>
    <w:rPr>
      <w:rFonts w:eastAsia="宋体" w:asciiTheme="majorHAnsi" w:hAnsiTheme="majorHAnsi" w:cstheme="majorBidi"/>
      <w:b/>
      <w:bCs/>
      <w:sz w:val="32"/>
      <w:szCs w:val="32"/>
    </w:rPr>
  </w:style>
  <w:style w:type="paragraph" w:customStyle="1" w:styleId="66">
    <w:name w:val="Table Paragraph"/>
    <w:basedOn w:val="1"/>
    <w:qFormat/>
    <w:uiPriority w:val="1"/>
    <w:pPr>
      <w:autoSpaceDE w:val="0"/>
      <w:autoSpaceDN w:val="0"/>
      <w:adjustRightInd w:val="0"/>
      <w:jc w:val="left"/>
    </w:pPr>
    <w:rPr>
      <w:rFonts w:ascii="Times New Roman" w:hAnsi="Times New Roman" w:cs="Times New Roman" w:eastAsiaTheme="minorEastAsia"/>
      <w:kern w:val="0"/>
      <w:sz w:val="24"/>
      <w:szCs w:val="24"/>
    </w:rPr>
  </w:style>
  <w:style w:type="character" w:customStyle="1" w:styleId="67">
    <w:name w:val="批注文字 字符"/>
    <w:basedOn w:val="26"/>
    <w:link w:val="9"/>
    <w:semiHidden/>
    <w:qFormat/>
    <w:uiPriority w:val="99"/>
    <w:rPr>
      <w:rFonts w:ascii="宋体" w:hAnsi="宋体" w:eastAsia="宋体"/>
    </w:rPr>
  </w:style>
  <w:style w:type="character" w:customStyle="1" w:styleId="68">
    <w:name w:val="批注主题 字符"/>
    <w:basedOn w:val="67"/>
    <w:link w:val="8"/>
    <w:semiHidden/>
    <w:qFormat/>
    <w:uiPriority w:val="99"/>
    <w:rPr>
      <w:rFonts w:ascii="宋体" w:hAnsi="宋体" w:eastAsia="宋体"/>
      <w:b/>
      <w:bCs/>
    </w:rPr>
  </w:style>
  <w:style w:type="character" w:customStyle="1" w:styleId="69">
    <w:name w:val="未处理的提及1"/>
    <w:basedOn w:val="26"/>
    <w:semiHidden/>
    <w:unhideWhenUsed/>
    <w:uiPriority w:val="99"/>
    <w:rPr>
      <w:color w:val="605E5C"/>
      <w:shd w:val="clear" w:color="auto" w:fill="E1DFDD"/>
    </w:rPr>
  </w:style>
  <w:style w:type="character" w:customStyle="1" w:styleId="70">
    <w:name w:val="infoinlinespan"/>
    <w:basedOn w:val="26"/>
    <w:qFormat/>
    <w:uiPriority w:val="0"/>
  </w:style>
  <w:style w:type="paragraph" w:customStyle="1" w:styleId="71">
    <w:name w:val="修订1"/>
    <w:hidden/>
    <w:semiHidden/>
    <w:qFormat/>
    <w:uiPriority w:val="99"/>
    <w:rPr>
      <w:rFonts w:ascii="宋体" w:hAnsi="宋体" w:eastAsia="宋体" w:cstheme="minorBidi"/>
      <w:kern w:val="2"/>
      <w:sz w:val="21"/>
      <w:szCs w:val="22"/>
      <w:lang w:val="en-US" w:eastAsia="zh-CN" w:bidi="ar-SA"/>
    </w:rPr>
  </w:style>
  <w:style w:type="paragraph" w:customStyle="1" w:styleId="72">
    <w:name w:val="引文目录1"/>
    <w:basedOn w:val="1"/>
    <w:next w:val="1"/>
    <w:qFormat/>
    <w:uiPriority w:val="0"/>
    <w:pPr>
      <w:ind w:left="420" w:leftChars="200"/>
    </w:pPr>
    <w:rPr>
      <w:rFonts w:hAnsi="Calibri" w:cs="Times New Roman"/>
      <w:sz w:val="24"/>
      <w:szCs w:val="24"/>
    </w:rPr>
  </w:style>
  <w:style w:type="paragraph" w:customStyle="1" w:styleId="73">
    <w:name w:val="正文2"/>
    <w:basedOn w:val="1"/>
    <w:qFormat/>
    <w:uiPriority w:val="0"/>
    <w:pPr>
      <w:spacing w:line="360" w:lineRule="auto"/>
      <w:ind w:firstLine="200" w:firstLineChars="200"/>
    </w:pPr>
    <w:rPr>
      <w:rFonts w:hAnsi="Calibri" w:cs="Times New Roman"/>
      <w:sz w:val="24"/>
      <w:szCs w:val="21"/>
    </w:rPr>
  </w:style>
  <w:style w:type="character" w:customStyle="1" w:styleId="74">
    <w:name w:val="日期 字符"/>
    <w:basedOn w:val="26"/>
    <w:link w:val="15"/>
    <w:qFormat/>
    <w:uiPriority w:val="0"/>
    <w:rPr>
      <w:rFonts w:ascii="宋体" w:hAnsi="Calibri" w:eastAsia="宋体" w:cs="Times New Roman"/>
      <w:sz w:val="24"/>
      <w:szCs w:val="24"/>
    </w:rPr>
  </w:style>
  <w:style w:type="paragraph" w:customStyle="1" w:styleId="75">
    <w:name w:val="一级条标题"/>
    <w:basedOn w:val="1"/>
    <w:qFormat/>
    <w:uiPriority w:val="0"/>
    <w:pPr>
      <w:widowControl/>
      <w:tabs>
        <w:tab w:val="left" w:pos="0"/>
      </w:tabs>
      <w:jc w:val="left"/>
      <w:outlineLvl w:val="0"/>
    </w:pPr>
    <w:rPr>
      <w:rFonts w:ascii="黑体" w:hAnsi="Lucida Sans" w:eastAsia="黑体" w:cs="Times New Roman"/>
      <w:sz w:val="28"/>
      <w:szCs w:val="24"/>
    </w:rPr>
  </w:style>
  <w:style w:type="paragraph" w:customStyle="1" w:styleId="76">
    <w:name w:val="p0"/>
    <w:basedOn w:val="1"/>
    <w:qFormat/>
    <w:uiPriority w:val="0"/>
    <w:pPr>
      <w:widowControl/>
    </w:pPr>
    <w:rPr>
      <w:rFonts w:ascii="Times New Roman" w:hAnsi="Calibri" w:cs="Times New Roman"/>
      <w:kern w:val="0"/>
      <w:szCs w:val="21"/>
    </w:rPr>
  </w:style>
  <w:style w:type="paragraph" w:customStyle="1" w:styleId="77">
    <w:name w:val="列表段落1"/>
    <w:basedOn w:val="1"/>
    <w:qFormat/>
    <w:uiPriority w:val="0"/>
    <w:pPr>
      <w:ind w:firstLine="420" w:firstLineChars="200"/>
    </w:pPr>
    <w:rPr>
      <w:rFonts w:hAnsi="Calibri" w:cs="Times New Roman"/>
      <w:sz w:val="24"/>
      <w:szCs w:val="24"/>
    </w:rPr>
  </w:style>
  <w:style w:type="paragraph" w:customStyle="1" w:styleId="78">
    <w:name w:val="p15"/>
    <w:basedOn w:val="1"/>
    <w:qFormat/>
    <w:uiPriority w:val="0"/>
    <w:pPr>
      <w:widowControl/>
      <w:jc w:val="left"/>
    </w:pPr>
    <w:rPr>
      <w:rFonts w:ascii="黑体" w:hAnsi="黑体" w:eastAsia="黑体" w:cs="宋体"/>
      <w:kern w:val="0"/>
      <w:sz w:val="28"/>
      <w:szCs w:val="28"/>
    </w:rPr>
  </w:style>
  <w:style w:type="character" w:customStyle="1" w:styleId="79">
    <w:name w:val="列表段落 字符"/>
    <w:link w:val="52"/>
    <w:qFormat/>
    <w:uiPriority w:val="34"/>
    <w:rPr>
      <w:rFonts w:ascii="宋体" w:hAnsi="宋体" w:eastAsia="宋体"/>
    </w:rPr>
  </w:style>
  <w:style w:type="paragraph" w:customStyle="1" w:styleId="80">
    <w:name w:val="正文格式"/>
    <w:basedOn w:val="1"/>
    <w:link w:val="81"/>
    <w:qFormat/>
    <w:uiPriority w:val="0"/>
    <w:pPr>
      <w:widowControl/>
      <w:adjustRightInd w:val="0"/>
      <w:spacing w:line="440" w:lineRule="atLeast"/>
      <w:ind w:firstLine="482"/>
      <w:textAlignment w:val="baseline"/>
    </w:pPr>
    <w:rPr>
      <w:rFonts w:ascii="Times New Roman" w:hAnsi="Times New Roman" w:cs="Times New Roman"/>
      <w:kern w:val="0"/>
      <w:sz w:val="24"/>
      <w:szCs w:val="20"/>
    </w:rPr>
  </w:style>
  <w:style w:type="character" w:customStyle="1" w:styleId="81">
    <w:name w:val="正文格式 Char"/>
    <w:basedOn w:val="26"/>
    <w:link w:val="80"/>
    <w:qFormat/>
    <w:uiPriority w:val="0"/>
    <w:rPr>
      <w:rFonts w:ascii="Times New Roman" w:hAnsi="Times New Roman" w:eastAsia="宋体" w:cs="Times New Roman"/>
      <w:kern w:val="0"/>
      <w:sz w:val="24"/>
      <w:szCs w:val="20"/>
    </w:rPr>
  </w:style>
  <w:style w:type="character" w:customStyle="1" w:styleId="82">
    <w:name w:val="未处理的提及2"/>
    <w:basedOn w:val="2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004;&#40857;\Documents\&#33258;&#23450;&#20041;%20Office%20&#27169;&#26495;\&#27169;&#26495;1.dotx" TargetMode="Externa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3823B6-F72F-4243-BDFC-6D6058D6D5CE}">
  <ds:schemaRefs/>
</ds:datastoreItem>
</file>

<file path=docProps/app.xml><?xml version="1.0" encoding="utf-8"?>
<Properties xmlns="http://schemas.openxmlformats.org/officeDocument/2006/extended-properties" xmlns:vt="http://schemas.openxmlformats.org/officeDocument/2006/docPropsVTypes">
  <Template>模板1.dotx</Template>
  <Pages>22</Pages>
  <Words>1101</Words>
  <Characters>6278</Characters>
  <Lines>52</Lines>
  <Paragraphs>14</Paragraphs>
  <TotalTime>13</TotalTime>
  <ScaleCrop>false</ScaleCrop>
  <LinksUpToDate>false</LinksUpToDate>
  <CharactersWithSpaces>7365</CharactersWithSpaces>
  <Application>WPS Office_10.8.2.7090_F1E327BC-269C-435d-A152-05C5408002CA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2021-04-20T07:42:00Z</dcterms:created>
  <dc:creator>姜龙</dc:creator>
  <cp:lastModifiedBy>lenovo</cp:lastModifiedBy>
  <cp:lastPrinted>2021-08-16T09:01:42Z</cp:lastPrinted>
  <dcterms:modified xsi:type="dcterms:W3CDTF">2021-08-16T09:02:26Z</dcterms:modified>
  <dc:title>附件</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2052-10.8.2.7090</vt:lpwstr>
  </property>
</Properties>
</file>