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宋体"/>
          <w:color w:val="auto"/>
          <w:kern w:val="0"/>
          <w:highlight w:val="none"/>
          <w:lang w:bidi="ar"/>
        </w:rPr>
      </w:pPr>
      <w:r>
        <w:rPr>
          <w:rFonts w:hint="eastAsia" w:ascii="黑体" w:hAnsi="黑体" w:eastAsia="黑体" w:cs="宋体"/>
          <w:color w:val="auto"/>
          <w:kern w:val="0"/>
          <w:highlight w:val="none"/>
          <w:lang w:bidi="ar"/>
        </w:rPr>
        <w:t>附件</w:t>
      </w:r>
    </w:p>
    <w:p>
      <w:pPr>
        <w:spacing w:after="292" w:afterLines="50" w:line="64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lang w:bidi="ar"/>
        </w:rPr>
        <w:t>20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lang w:val="en-US" w:eastAsia="zh-CN" w:bidi="ar"/>
        </w:rPr>
        <w:t>22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lang w:bidi="ar"/>
        </w:rPr>
        <w:t>年省级挂牌督办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lang w:val="en-US" w:eastAsia="zh-CN" w:bidi="ar"/>
        </w:rPr>
        <w:t>第一批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lang w:bidi="ar"/>
        </w:rPr>
        <w:t>安全生产重大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lang w:eastAsia="zh-CN" w:bidi="ar"/>
        </w:rPr>
        <w:t>事故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highlight w:val="none"/>
          <w:lang w:bidi="ar"/>
        </w:rPr>
        <w:t>隐患明细表</w:t>
      </w:r>
    </w:p>
    <w:tbl>
      <w:tblPr>
        <w:tblStyle w:val="4"/>
        <w:tblW w:w="143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0"/>
        <w:gridCol w:w="1834"/>
        <w:gridCol w:w="1038"/>
        <w:gridCol w:w="4260"/>
        <w:gridCol w:w="1785"/>
        <w:gridCol w:w="1125"/>
        <w:gridCol w:w="1620"/>
        <w:gridCol w:w="1515"/>
        <w:gridCol w:w="6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隐患名称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行业分类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隐患基本情况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治理责任单位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属地监管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责任单位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行业督办单位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整改时限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陕西融港物流管理有限公司安全隐患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仓储</w:t>
            </w: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物流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1.仓库未进行防火分隔；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2.办公楼缺少一部疏散楼梯；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3.仓库未按要求设置自动喷淋系统；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4.仓库未按要求设置自动报警系统；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5.办公室自动报警系统不能正常运行；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6.消防控制室值班人员未持证上岗。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陕西融港物流管理有限公司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西安市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人民政府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省商务厅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2022年12月底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G310法汤路桥下道路安全隐患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道路交通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G310眉县境内法汤路桥下道路中间隔离带防撞墩和反光提醒标志、标识、标牌缺失不完善存在隐患。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眉县交通运输局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宝鸡市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人民政府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省交通运输厅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2022年10月底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0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榆阳区煤矿安全隐患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煤矿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1.采矿许可证于2021年12月18日到期，继续组织施工建设；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2.2022年1月22日任命了中煤陕西榆林大海则煤业有限公司的总经理、总工程师和分管生产、机电副总经理，没有任命分管安全副总经理。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中煤陕西榆林大海则煤业有限公司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榆林市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人民政府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省应急管理厅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2022年6月底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神木市危旧桥梁沙母河大桥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交通运输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1.主梁1/4L处有斜裂缝，1/4~3/4处有竖向裂缝，局部裂缝贯通至根部，已封闭的裂缝继续扩张，多处横隔板破损、严重错位或连接不完全，湿接缝、横隔板、腹板渗水，泛白，主梁混凝土碳化，渗水严重；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2.下部结构桥墩基础系梁外漏冲刷；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3.桥面在墩顶位置大面积明显凹陷；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4.桥面车辙、网裂、多处裂缝，桥面排水不畅，部分堵塞；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5.伸缩缝型钢损坏，砼破坏，伸缩缝堵塞失效。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神木市农村道路养护中心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榆林市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人民政府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省交通运输厅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2022年11月底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略阳县铧厂沟金矿有限公司安全隐患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非煤矿山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铧厂沟窑上湾尾矿库初期坝浸润线埋深3.0-3.7m、排渗井上浸润线埋深4.1-4.7m，小于控制浸润线埋深。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铧厂沟金矿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汉中市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人民政府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省应急管理厅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2022年6月底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镇坪县牛头店镇区域敬老院消防安全隐患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</w:rPr>
              <w:t>社会服务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1.住宿楼整层疏散指示标志损坏，损坏率超过50%；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2.未按国家工程建设消防技术标准的规定设置室内消火栓系统；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3.已设置的自动喷水灭火系统不能正常运行；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4.火灾自动报警系统不能正常运行。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镇坪县牛头店镇区域敬老院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安康市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人民政府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省民政厅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2022年11月底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仿宋" w:hAnsi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汉滨区屈家河CNG加气站安全隐患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燃气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outlineLvl w:val="9"/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汉滨区屈家河应急调峰设施与周边设施（高压线、CNG加气设施）安全间距不满足规范要求，应拆除。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安康市逸华天然气有限公司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安康市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人民政府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省住房和城乡建设厅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2022年6月底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2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2022-05-13T07:22:14Z</dcterms:created>
  <dc:creator>Administrator</dc:creator>
  <cp:lastModifiedBy>安之若素i</cp:lastModifiedBy>
  <dcterms:modified xsi:type="dcterms:W3CDTF">2022-05-13T07:22:39Z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