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60" w:rsidRDefault="00415660" w:rsidP="00415660">
      <w:pPr>
        <w:textAlignment w:val="baseline"/>
        <w:rPr>
          <w:rFonts w:ascii="黑体" w:eastAsia="黑体" w:hAnsi="黑体" w:cs="黑体" w:hint="eastAsia"/>
          <w:bCs/>
          <w:szCs w:val="32"/>
        </w:rPr>
      </w:pPr>
      <w:r>
        <w:rPr>
          <w:rFonts w:ascii="黑体" w:eastAsia="黑体" w:hAnsi="黑体" w:cs="黑体" w:hint="eastAsia"/>
          <w:bCs/>
          <w:szCs w:val="32"/>
        </w:rPr>
        <w:t>附件</w:t>
      </w:r>
    </w:p>
    <w:p w:rsidR="00415660" w:rsidRDefault="00415660" w:rsidP="00415660">
      <w:pPr>
        <w:spacing w:line="600" w:lineRule="exact"/>
        <w:jc w:val="center"/>
        <w:rPr>
          <w:rFonts w:ascii="方正小标宋简体" w:eastAsia="方正小标宋简体" w:hAnsi="方正小标宋简体" w:cs="方正小标宋简体" w:hint="eastAsia"/>
          <w:sz w:val="44"/>
          <w:szCs w:val="44"/>
        </w:rPr>
      </w:pPr>
    </w:p>
    <w:p w:rsidR="00415660" w:rsidRDefault="00415660" w:rsidP="0041566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陕西省安全生产领域百日执法</w:t>
      </w:r>
    </w:p>
    <w:p w:rsidR="00415660" w:rsidRDefault="00415660" w:rsidP="0041566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专项行动方案</w:t>
      </w:r>
    </w:p>
    <w:p w:rsidR="00415660" w:rsidRDefault="00415660" w:rsidP="00415660">
      <w:pPr>
        <w:spacing w:line="600" w:lineRule="exact"/>
        <w:ind w:firstLineChars="200" w:firstLine="864"/>
        <w:jc w:val="center"/>
        <w:rPr>
          <w:rFonts w:ascii="方正小标宋简体" w:eastAsia="方正小标宋简体" w:hAnsi="方正小标宋简体" w:cs="方正小标宋简体" w:hint="eastAsia"/>
          <w:sz w:val="44"/>
          <w:szCs w:val="44"/>
        </w:rPr>
      </w:pPr>
    </w:p>
    <w:p w:rsidR="00415660" w:rsidRDefault="00415660" w:rsidP="00415660">
      <w:pPr>
        <w:ind w:firstLineChars="200" w:firstLine="624"/>
        <w:rPr>
          <w:rFonts w:ascii="黑体" w:eastAsia="黑体" w:hAnsi="黑体" w:cs="黑体" w:hint="eastAsia"/>
          <w:szCs w:val="32"/>
        </w:rPr>
      </w:pPr>
      <w:r>
        <w:rPr>
          <w:rFonts w:ascii="黑体" w:eastAsia="黑体" w:hAnsi="黑体" w:cs="黑体" w:hint="eastAsia"/>
          <w:szCs w:val="32"/>
        </w:rPr>
        <w:t>一、工作任务</w:t>
      </w:r>
    </w:p>
    <w:p w:rsidR="00415660" w:rsidRDefault="00415660" w:rsidP="00415660">
      <w:pPr>
        <w:pStyle w:val="2"/>
        <w:spacing w:after="0"/>
        <w:ind w:leftChars="0" w:left="0" w:firstLine="624"/>
        <w:rPr>
          <w:rFonts w:ascii="仿宋" w:hAnsi="仿宋" w:cs="仿宋" w:hint="eastAsia"/>
          <w:szCs w:val="32"/>
        </w:rPr>
      </w:pPr>
      <w:r>
        <w:rPr>
          <w:rFonts w:ascii="仿宋" w:hAnsi="仿宋" w:cs="仿宋" w:hint="eastAsia"/>
          <w:bCs/>
          <w:szCs w:val="32"/>
        </w:rPr>
        <w:t>从7月份至10月底，在全省煤矿、非煤矿山、危险化学品、</w:t>
      </w:r>
      <w:r>
        <w:rPr>
          <w:rFonts w:ascii="仿宋" w:hAnsi="仿宋" w:cs="仿宋" w:hint="eastAsia"/>
          <w:szCs w:val="32"/>
        </w:rPr>
        <w:t>冶金工贸、道路和轨道交通</w:t>
      </w:r>
      <w:r>
        <w:rPr>
          <w:rFonts w:ascii="仿宋" w:hAnsi="仿宋" w:cs="仿宋" w:hint="eastAsia"/>
          <w:bCs/>
          <w:szCs w:val="32"/>
        </w:rPr>
        <w:t>、消防</w:t>
      </w:r>
      <w:r>
        <w:rPr>
          <w:rFonts w:ascii="仿宋" w:hAnsi="仿宋" w:cs="仿宋" w:hint="eastAsia"/>
          <w:szCs w:val="32"/>
        </w:rPr>
        <w:t>、建设工程、城镇燃气、有限空间及粉尘涉爆、特种设备、水利、电力、油气长输管道、民爆、旅游等行业领域开展以“遵守安全生产法，当好第一责任人”为主要内容的“百日执法”专项行动。各市、各省级部门按照《全省安全生产领域“防风险、除隐患、保安全、迎盛会”专项整治行动方案》要求，对问题隐患进行排查梳理，对违法违规行为依法依规实施行政处罚。</w:t>
      </w:r>
    </w:p>
    <w:p w:rsidR="00415660" w:rsidRDefault="00415660" w:rsidP="00415660">
      <w:pPr>
        <w:ind w:firstLineChars="200" w:firstLine="624"/>
        <w:rPr>
          <w:rFonts w:ascii="楷体" w:eastAsia="楷体" w:hAnsi="楷体" w:cs="楷体" w:hint="eastAsia"/>
          <w:szCs w:val="32"/>
        </w:rPr>
      </w:pPr>
      <w:r>
        <w:rPr>
          <w:rFonts w:ascii="楷体" w:eastAsia="楷体" w:hAnsi="楷体" w:cs="楷体" w:hint="eastAsia"/>
          <w:szCs w:val="32"/>
        </w:rPr>
        <w:t>（一）共性执法任务</w:t>
      </w:r>
    </w:p>
    <w:p w:rsidR="00415660" w:rsidRDefault="00415660" w:rsidP="00415660">
      <w:pPr>
        <w:pStyle w:val="2"/>
        <w:spacing w:after="0"/>
        <w:ind w:leftChars="0" w:left="0" w:firstLine="624"/>
        <w:rPr>
          <w:rFonts w:ascii="仿宋" w:hAnsi="仿宋" w:cs="仿宋" w:hint="eastAsia"/>
          <w:b/>
          <w:szCs w:val="32"/>
        </w:rPr>
      </w:pPr>
      <w:r>
        <w:rPr>
          <w:rFonts w:ascii="仿宋" w:hAnsi="仿宋" w:cs="仿宋" w:hint="eastAsia"/>
          <w:szCs w:val="32"/>
        </w:rPr>
        <w:t>集中查处企业“第一责任人”等不依法履职的违法行为。重点对企业主要负责人、安全管理人员未依法履行安全生产工作职责，未建立健全并落实本单位全员安全生产责任制，未开展安全生产标准化建设，未组织制定并实施安全生产规章制度、操作规程以及安全生产教育和培训计划，未保证安全生产投入的有效实施，未组织建立并落实安全风险分级管控和隐患排查治理双重预防工作机制，未组织制定并实施生产安全事故应急救援预案，未及时、如实报告生产安全事故等违法行为严格依法查处。</w:t>
      </w:r>
    </w:p>
    <w:p w:rsidR="00415660" w:rsidRDefault="00415660" w:rsidP="00415660">
      <w:pPr>
        <w:ind w:firstLineChars="200" w:firstLine="624"/>
        <w:rPr>
          <w:rFonts w:ascii="楷体" w:eastAsia="楷体" w:hAnsi="楷体" w:cs="楷体" w:hint="eastAsia"/>
          <w:szCs w:val="32"/>
        </w:rPr>
      </w:pPr>
      <w:r>
        <w:rPr>
          <w:rFonts w:ascii="楷体" w:eastAsia="楷体" w:hAnsi="楷体" w:cs="楷体" w:hint="eastAsia"/>
          <w:szCs w:val="32"/>
        </w:rPr>
        <w:t>（二）重点行业领域执法任务</w:t>
      </w:r>
    </w:p>
    <w:p w:rsidR="00415660" w:rsidRDefault="00415660" w:rsidP="00415660">
      <w:pPr>
        <w:ind w:firstLineChars="200" w:firstLine="626"/>
        <w:rPr>
          <w:rFonts w:ascii="楷体" w:eastAsia="楷体" w:hAnsi="楷体" w:cs="楷体" w:hint="eastAsia"/>
          <w:szCs w:val="32"/>
        </w:rPr>
      </w:pPr>
      <w:r>
        <w:rPr>
          <w:rFonts w:ascii="仿宋" w:hAnsi="仿宋" w:cs="仿宋" w:hint="eastAsia"/>
          <w:b/>
          <w:szCs w:val="32"/>
        </w:rPr>
        <w:t>1.煤矿：</w:t>
      </w:r>
      <w:r>
        <w:rPr>
          <w:rFonts w:ascii="仿宋" w:hAnsi="仿宋" w:cs="仿宋" w:hint="eastAsia"/>
          <w:szCs w:val="32"/>
        </w:rPr>
        <w:t>重点对超能力、超强度、超定员组织生产，超层越界开采、盗采煤炭资源，违法违规开采保安煤柱、违规承包托管，采用国家明令禁止使用的采煤方法、设备、工艺，应淘汰退出矿井违规生产、技改矿井不按批准工期施工，采空区、煤与瓦斯突出、冲击地压、水害严重矿井隐患治理不到位，机构设置、人员配备及安全监控系统运行等方面存在的违法违规行为严格查处。</w:t>
      </w:r>
      <w:r>
        <w:rPr>
          <w:rFonts w:ascii="楷体" w:eastAsia="楷体" w:hAnsi="楷体" w:cs="楷体" w:hint="eastAsia"/>
          <w:szCs w:val="32"/>
        </w:rPr>
        <w:t>[省应急厅牵头，省自然资源厅、省能源局、国家矿山安全监察局陕西局等部门按职责分工负责，各市（区）落实]</w:t>
      </w:r>
    </w:p>
    <w:p w:rsidR="00415660" w:rsidRDefault="00415660" w:rsidP="00415660">
      <w:pPr>
        <w:ind w:firstLineChars="200" w:firstLine="626"/>
        <w:rPr>
          <w:rFonts w:ascii="楷体" w:eastAsia="楷体" w:hAnsi="楷体" w:cs="楷体" w:hint="eastAsia"/>
          <w:szCs w:val="32"/>
        </w:rPr>
      </w:pPr>
      <w:r>
        <w:rPr>
          <w:rFonts w:ascii="仿宋" w:hAnsi="仿宋" w:cs="仿宋" w:hint="eastAsia"/>
          <w:b/>
          <w:szCs w:val="32"/>
        </w:rPr>
        <w:t>2.非煤矿山：</w:t>
      </w:r>
      <w:r>
        <w:rPr>
          <w:rFonts w:ascii="仿宋" w:hAnsi="仿宋" w:cs="仿宋" w:hint="eastAsia"/>
          <w:szCs w:val="32"/>
        </w:rPr>
        <w:t>重点对地下矿山监测监控、人员定位、通信联络“三大系统”建设，包保责任公示、举报奖励机制落实以及露天矿山200米以上的边坡监测监控等方面存在的违法违规行为进行查处；对尾矿库不按设计筑坝、不按设计或规定排放尾矿、不按要求完成在线监测、不落实“一库一策”治理方案、不按要求在汛前开展调洪演算、未如实填写浸润线观测记录、未开展坝体位移、干滩长度监测等违法违规行为进行查处；对外包、外协和技术合作安全管控不到位等违法违规行为严格查处。</w:t>
      </w:r>
      <w:r>
        <w:rPr>
          <w:rFonts w:ascii="楷体" w:eastAsia="楷体" w:hAnsi="楷体" w:cs="楷体" w:hint="eastAsia"/>
          <w:szCs w:val="32"/>
        </w:rPr>
        <w:t>[省应急厅牵头，省自然资源厅、国家矿山安全监察局陕西局等部门按职责分工负责，各市（区）落实]</w:t>
      </w:r>
    </w:p>
    <w:p w:rsidR="00415660" w:rsidRDefault="00415660" w:rsidP="00415660">
      <w:pPr>
        <w:ind w:firstLineChars="200" w:firstLine="626"/>
        <w:rPr>
          <w:rFonts w:ascii="楷体" w:eastAsia="楷体" w:hAnsi="楷体" w:cs="楷体" w:hint="eastAsia"/>
          <w:szCs w:val="32"/>
        </w:rPr>
      </w:pPr>
      <w:r>
        <w:rPr>
          <w:rFonts w:ascii="仿宋" w:hAnsi="仿宋" w:cs="仿宋" w:hint="eastAsia"/>
          <w:b/>
          <w:szCs w:val="32"/>
        </w:rPr>
        <w:t>3.危险化学品：</w:t>
      </w:r>
      <w:r>
        <w:rPr>
          <w:rFonts w:ascii="仿宋" w:hAnsi="仿宋" w:cs="仿宋" w:hint="eastAsia"/>
          <w:szCs w:val="32"/>
        </w:rPr>
        <w:t>重点查处油气储存基地、老旧装置、重大危险源、烟花爆竹等安全风险专项治理过程中存在的违法违规行为；对常压液体危险货物罐车、化工园区、废弃处置等安全治理过程中存在的违法违规行为进行查处；对高速公路服务区危化品运输车辆临时停放管控制度不落实，危化品运输车辆动态监控、专用停车场建设、企业自动化信息控制系统配置及运行过程中存在的违法违规行为进行查处；对石油天然气开采防冻堵、防火防爆、防中毒、防井喷失控、防硫化氢中毒等措施落实过程中存在的违法违规行为进行查处。</w:t>
      </w:r>
      <w:r>
        <w:rPr>
          <w:rFonts w:ascii="楷体" w:eastAsia="楷体" w:hAnsi="楷体" w:cs="楷体" w:hint="eastAsia"/>
          <w:szCs w:val="32"/>
        </w:rPr>
        <w:t>[省应急厅牵头，省工信厅、省生态环境厅、省公安厅、省交通运输厅、省商务厅、省市场监管局等部门按职责分工负责，各市（区）落实]</w:t>
      </w:r>
    </w:p>
    <w:p w:rsidR="00415660" w:rsidRDefault="00415660" w:rsidP="00415660">
      <w:pPr>
        <w:ind w:firstLineChars="200" w:firstLine="626"/>
        <w:rPr>
          <w:rFonts w:ascii="楷体" w:eastAsia="楷体" w:hAnsi="楷体" w:cs="楷体" w:hint="eastAsia"/>
          <w:szCs w:val="32"/>
        </w:rPr>
      </w:pPr>
      <w:r>
        <w:rPr>
          <w:rFonts w:ascii="仿宋" w:hAnsi="仿宋" w:cs="仿宋" w:hint="eastAsia"/>
          <w:b/>
          <w:bCs/>
          <w:szCs w:val="32"/>
        </w:rPr>
        <w:t>4.冶金工贸</w:t>
      </w:r>
      <w:r>
        <w:rPr>
          <w:rFonts w:ascii="仿宋" w:hAnsi="仿宋" w:cs="仿宋" w:hint="eastAsia"/>
          <w:szCs w:val="32"/>
        </w:rPr>
        <w:t>：</w:t>
      </w:r>
      <w:r>
        <w:rPr>
          <w:rFonts w:ascii="仿宋" w:hAnsi="仿宋" w:cs="仿宋" w:hint="eastAsia"/>
          <w:kern w:val="0"/>
          <w:szCs w:val="32"/>
          <w:shd w:val="clear" w:color="auto" w:fill="FFFFFF"/>
        </w:rPr>
        <w:t>按照《陕西省工贸重点行业安全生产专项整治“百日清零行动”实施方案》要求，对钢铁企业“钢8条”、铝加工（深井铸造）企业“铝7条”以及粉尘涉爆企业“粉6条”共21项重点整治事项进行专项整治，对前期发现的违法违规行为进行严格查处。按照《陕西省应急管理厅关于进一步做好轻工重点企业有限空间作业排查整治相关工作的通知》要求，</w:t>
      </w:r>
      <w:r>
        <w:rPr>
          <w:rFonts w:ascii="仿宋" w:hAnsi="仿宋" w:cs="仿宋" w:hint="eastAsia"/>
          <w:szCs w:val="32"/>
        </w:rPr>
        <w:t>着重对有关轻工企业的蔬菜腌制池、纸浆池、存浆池以及污水收集池等易发生硫化氢中毒事故的典型有限空间进行检查，对发现的违法违规行为进行严格查处。</w:t>
      </w:r>
      <w:r>
        <w:rPr>
          <w:rFonts w:ascii="楷体" w:eastAsia="楷体" w:hAnsi="楷体" w:cs="楷体" w:hint="eastAsia"/>
          <w:szCs w:val="32"/>
        </w:rPr>
        <w:t>[省应急厅牵头，省工信厅、省生态环境厅按照职责分工负责、各市（区）落实]</w:t>
      </w:r>
    </w:p>
    <w:p w:rsidR="00415660" w:rsidRDefault="00415660" w:rsidP="00415660">
      <w:pPr>
        <w:ind w:firstLineChars="200" w:firstLine="626"/>
        <w:rPr>
          <w:rFonts w:ascii="楷体" w:eastAsia="楷体" w:hAnsi="楷体" w:cs="楷体" w:hint="eastAsia"/>
          <w:szCs w:val="32"/>
        </w:rPr>
      </w:pPr>
      <w:r>
        <w:rPr>
          <w:rFonts w:ascii="仿宋" w:hAnsi="仿宋" w:cs="仿宋" w:hint="eastAsia"/>
          <w:b/>
          <w:bCs/>
          <w:szCs w:val="32"/>
        </w:rPr>
        <w:t>5.道路和轨道交通：</w:t>
      </w:r>
      <w:r>
        <w:rPr>
          <w:rFonts w:ascii="仿宋" w:hAnsi="仿宋" w:cs="仿宋" w:hint="eastAsia"/>
          <w:szCs w:val="32"/>
        </w:rPr>
        <w:t>重点排查整治公路、农村道路、城市道路及临水临崖、长大桥隧、连续长陡坡路段安全防范措施落实情况；高速公路、集贸</w:t>
      </w:r>
      <w:r>
        <w:rPr>
          <w:rFonts w:ascii="仿宋" w:hAnsi="仿宋" w:cs="仿宋" w:hint="eastAsia"/>
          <w:kern w:val="0"/>
          <w:szCs w:val="32"/>
          <w:shd w:val="clear" w:color="auto" w:fill="FFFFFF"/>
        </w:rPr>
        <w:t>市场周边等重点路段和重大节日、极端天气等重点时段交通秩序管控情况；“两客一危一货一面”、过境营运车辆、营转非大客车、务工包车、工程施工车（渣土车、水泥罐车、吊车等）违法违章、引发事故问题；“酒驾醉驾”“三超一疲劳”、货车载人、农用车辆载人等违法行为；“百吨王”“大吨小标”、非法改装等问题；铁路沿线存量安全隐患集中治理和城市轨道交通运营安全防范情况。对以上排查整治情况进行梳理，对梳理出的违法违规行为严格查处。</w:t>
      </w:r>
      <w:r>
        <w:rPr>
          <w:rFonts w:ascii="楷体" w:eastAsia="楷体" w:hAnsi="楷体" w:cs="楷体" w:hint="eastAsia"/>
          <w:szCs w:val="32"/>
        </w:rPr>
        <w:t>[由省公安厅、省交通运输厅牵头，省工信厅、省住建厅、省农业农村厅、西安铁路监管局、中国铁路西安局集团有限公司等按职责分工负责，各市（区）落实]</w:t>
      </w:r>
    </w:p>
    <w:p w:rsidR="00415660" w:rsidRDefault="00415660" w:rsidP="00415660">
      <w:pPr>
        <w:ind w:firstLineChars="200" w:firstLine="626"/>
        <w:rPr>
          <w:rFonts w:ascii="楷体" w:eastAsia="楷体" w:hAnsi="楷体" w:cs="楷体" w:hint="eastAsia"/>
          <w:szCs w:val="32"/>
        </w:rPr>
      </w:pPr>
      <w:r>
        <w:rPr>
          <w:rFonts w:ascii="仿宋" w:hAnsi="仿宋" w:cs="仿宋" w:hint="eastAsia"/>
          <w:b/>
          <w:bCs/>
          <w:szCs w:val="32"/>
        </w:rPr>
        <w:t>6.消防：</w:t>
      </w:r>
      <w:r>
        <w:rPr>
          <w:rFonts w:ascii="仿宋" w:hAnsi="仿宋" w:cs="仿宋" w:hint="eastAsia"/>
          <w:kern w:val="0"/>
          <w:szCs w:val="32"/>
          <w:shd w:val="clear" w:color="auto" w:fill="FFFFFF"/>
        </w:rPr>
        <w:t>重点排查整治高层建筑、大型商业综合体、地下公共建筑、易地扶贫搬迁高层建筑安置点、医院、养老院、寄宿制学校、高校、文物建筑等不托底不放心场所，以及电化学储能电站、密室逃脱、室内冰雪冰雕等新业态消防隐患；电源火源失管、消防设施缺失损坏、疏散通道堵塞、电动自行车违规停放充电、电气线路敷设不符合规定、采用易燃可燃材料违规搭建和装饰装修等突出问题，农村房屋、群住房、“多合一”等场所防火情况。对以上排查整治情况进行梳理，对梳理出的违法违规行为严格查处。</w:t>
      </w:r>
      <w:r>
        <w:rPr>
          <w:rFonts w:ascii="楷体" w:eastAsia="楷体" w:hAnsi="楷体" w:cs="楷体" w:hint="eastAsia"/>
          <w:szCs w:val="32"/>
        </w:rPr>
        <w:t>[省消防救援总队牵头，省商务厅、省民政厅、省公安厅、省教育厅、省住建厅、省卫健委、省文化和旅游厅、省农业农村厅、省文物局等部门按职责分工负责，各市（区）落实]</w:t>
      </w:r>
    </w:p>
    <w:p w:rsidR="00415660" w:rsidRDefault="00415660" w:rsidP="00415660">
      <w:pPr>
        <w:ind w:firstLineChars="200" w:firstLine="626"/>
        <w:rPr>
          <w:rFonts w:ascii="楷体" w:eastAsia="楷体" w:hAnsi="楷体" w:cs="楷体" w:hint="eastAsia"/>
          <w:szCs w:val="32"/>
        </w:rPr>
      </w:pPr>
      <w:r>
        <w:rPr>
          <w:rFonts w:ascii="仿宋" w:hAnsi="仿宋" w:cs="仿宋" w:hint="eastAsia"/>
          <w:b/>
          <w:bCs/>
          <w:szCs w:val="32"/>
        </w:rPr>
        <w:t>7.建设工程</w:t>
      </w:r>
      <w:r>
        <w:rPr>
          <w:rFonts w:ascii="仿宋" w:hAnsi="仿宋" w:cs="仿宋" w:hint="eastAsia"/>
          <w:szCs w:val="32"/>
        </w:rPr>
        <w:t>：</w:t>
      </w:r>
      <w:r>
        <w:rPr>
          <w:rFonts w:ascii="仿宋" w:hAnsi="仿宋" w:cs="仿宋" w:hint="eastAsia"/>
          <w:kern w:val="0"/>
          <w:szCs w:val="32"/>
          <w:shd w:val="clear" w:color="auto" w:fill="FFFFFF"/>
        </w:rPr>
        <w:t>重点对施工现场起重吊运、动火动电、深基坑边坡防护、高支模、脚手架等作业制度执行情况，公路、铁路、水运、电力、水利、城市轨道交通等重大基础设施工程施工过程中存在的安全生产违法违规行为进行严格查处；按照《陕西省自建房安全专项整治工作实施方案》对城乡所有自建房进行拉网式、地毯式排查摸底，对存在安全隐患的自建房开展安全鉴定，建立整治台账；对未取得土地、规划和建设等手续，以及擅自改建加层、非法开挖地下空间等违法违规行为进行严格查处。</w:t>
      </w:r>
      <w:r>
        <w:rPr>
          <w:rFonts w:ascii="楷体" w:eastAsia="楷体" w:hAnsi="楷体" w:cs="楷体" w:hint="eastAsia"/>
          <w:szCs w:val="32"/>
        </w:rPr>
        <w:t>[省住建厅牵头，省交通运输厅、省水利厅、省自然资源厅、省能源局、国家能源局西北监管局、西安铁路监管局、中国铁路西安局集团有限公司等部门按职责分工负责，各市（区）落实]</w:t>
      </w:r>
    </w:p>
    <w:p w:rsidR="00415660" w:rsidRDefault="00415660" w:rsidP="00415660">
      <w:pPr>
        <w:ind w:firstLineChars="200" w:firstLine="626"/>
        <w:rPr>
          <w:rFonts w:ascii="楷体" w:eastAsia="楷体" w:hAnsi="楷体" w:cs="楷体" w:hint="eastAsia"/>
          <w:szCs w:val="32"/>
        </w:rPr>
      </w:pPr>
      <w:r>
        <w:rPr>
          <w:rFonts w:ascii="仿宋" w:hAnsi="仿宋" w:cs="仿宋" w:hint="eastAsia"/>
          <w:b/>
          <w:bCs/>
          <w:szCs w:val="32"/>
        </w:rPr>
        <w:t>8.城镇燃气</w:t>
      </w:r>
      <w:r>
        <w:rPr>
          <w:rFonts w:ascii="仿宋" w:hAnsi="仿宋" w:cs="仿宋" w:hint="eastAsia"/>
          <w:szCs w:val="32"/>
        </w:rPr>
        <w:t>：</w:t>
      </w:r>
      <w:r>
        <w:rPr>
          <w:rFonts w:ascii="仿宋" w:hAnsi="仿宋" w:cs="仿宋" w:hint="eastAsia"/>
          <w:kern w:val="0"/>
          <w:szCs w:val="32"/>
          <w:shd w:val="clear" w:color="auto" w:fill="FFFFFF"/>
        </w:rPr>
        <w:t>重点对排查出的燃气安全监管机制不健全，管道老化、违章占压，餐饮场所未按要求安装燃气泄漏报警装置，老旧小区燃气设施失修失管，液化气违法充装、经营、储存、运输及使用等问题隐患进行梳理，对存在的违法违规行为严格查处。</w:t>
      </w:r>
      <w:r>
        <w:rPr>
          <w:rFonts w:ascii="楷体" w:eastAsia="楷体" w:hAnsi="楷体" w:cs="楷体" w:hint="eastAsia"/>
          <w:szCs w:val="32"/>
        </w:rPr>
        <w:t>[省住建厅牵头，省能源局、省交通运输厅、省商务厅、省市场监管局等部门按职责分工负责，各市（区）落实]</w:t>
      </w:r>
    </w:p>
    <w:p w:rsidR="00415660" w:rsidRDefault="00415660" w:rsidP="00415660">
      <w:pPr>
        <w:ind w:firstLineChars="200" w:firstLine="626"/>
        <w:rPr>
          <w:rFonts w:ascii="楷体" w:eastAsia="楷体" w:hAnsi="楷体" w:cs="楷体" w:hint="eastAsia"/>
          <w:szCs w:val="32"/>
        </w:rPr>
      </w:pPr>
      <w:r>
        <w:rPr>
          <w:rFonts w:ascii="仿宋" w:hAnsi="仿宋" w:cs="仿宋" w:hint="eastAsia"/>
          <w:b/>
          <w:bCs/>
          <w:szCs w:val="32"/>
        </w:rPr>
        <w:t>9.有限空间及粉尘涉爆</w:t>
      </w:r>
      <w:r>
        <w:rPr>
          <w:rFonts w:ascii="仿宋" w:hAnsi="仿宋" w:cs="仿宋" w:hint="eastAsia"/>
          <w:szCs w:val="32"/>
        </w:rPr>
        <w:t>：</w:t>
      </w:r>
      <w:r>
        <w:rPr>
          <w:rFonts w:ascii="仿宋" w:hAnsi="仿宋" w:cs="仿宋" w:hint="eastAsia"/>
          <w:kern w:val="0"/>
          <w:szCs w:val="32"/>
          <w:shd w:val="clear" w:color="auto" w:fill="FFFFFF"/>
        </w:rPr>
        <w:t>按照《陕西省有限空间作业安全管理办法（暂行）》，重点对前期整治过程中发现的行业领域有限空间排查底数不清、有限空间警示标识不完备、作业制度操作性不强、“先通风、再检测、后作业”规定执行不到位、应急物资配备不足和救援能力差等问题隐患进行梳理，对违法违规行为进行严格查处。认真排查行业领域涉及爆炸粉尘的有关企业，对不同种类易加剧爆炸危险的介质共用一套除尘系统，不同防火分区的除尘系统互联互通，干式除尘系统未规范采用控爆措施，铝镁等金属粉尘除尘系统未采用负压除尘方式，粉碎、研磨、造粒、砂光等易产生机械火花的工艺，未规范采取杂物去除或火花探测消除等防范点燃源措施的有关违法违规行为严格查处。</w:t>
      </w:r>
      <w:r>
        <w:rPr>
          <w:rFonts w:ascii="楷体" w:eastAsia="楷体" w:hAnsi="楷体" w:cs="楷体" w:hint="eastAsia"/>
          <w:szCs w:val="32"/>
        </w:rPr>
        <w:t>[省发改委、省住建厅、省交通运输厅、省生态环境厅、省农业农村厅、省水利厅、省卫健委、省应急厅、省市场监管局等部门按职责分工负责，各市（区）落实]</w:t>
      </w:r>
    </w:p>
    <w:p w:rsidR="00415660" w:rsidRDefault="00415660" w:rsidP="00415660">
      <w:pPr>
        <w:ind w:firstLineChars="200" w:firstLine="624"/>
        <w:rPr>
          <w:rFonts w:ascii="楷体" w:eastAsia="楷体" w:hAnsi="楷体" w:cs="楷体" w:hint="eastAsia"/>
          <w:szCs w:val="32"/>
        </w:rPr>
      </w:pPr>
      <w:r>
        <w:rPr>
          <w:rFonts w:ascii="楷体" w:eastAsia="楷体" w:hAnsi="楷体" w:cs="楷体" w:hint="eastAsia"/>
          <w:szCs w:val="32"/>
        </w:rPr>
        <w:t>（三）其他行业领域执法任务</w:t>
      </w:r>
    </w:p>
    <w:p w:rsidR="00415660" w:rsidRDefault="00415660" w:rsidP="00415660">
      <w:pPr>
        <w:ind w:firstLineChars="200" w:firstLine="624"/>
        <w:rPr>
          <w:rFonts w:ascii="楷体" w:eastAsia="楷体" w:hAnsi="楷体" w:cs="楷体" w:hint="eastAsia"/>
          <w:szCs w:val="32"/>
        </w:rPr>
      </w:pPr>
      <w:r>
        <w:rPr>
          <w:rFonts w:ascii="仿宋" w:hAnsi="仿宋" w:cs="仿宋" w:hint="eastAsia"/>
          <w:kern w:val="0"/>
          <w:szCs w:val="32"/>
          <w:shd w:val="clear" w:color="auto" w:fill="FFFFFF"/>
        </w:rPr>
        <w:t>特种设备、危险废物、医疗卫生、文化旅游、校园、油气长输管道、电力、民爆、民航、水上交通、农林牧渔等行业领域，要根据梳理出的本系统的安全生产隐患，针对违法违规行为，结合本部门职能积极自主开展“百日执法”专项行动。</w:t>
      </w:r>
      <w:r>
        <w:rPr>
          <w:rFonts w:ascii="楷体" w:eastAsia="楷体" w:hAnsi="楷体" w:cs="楷体" w:hint="eastAsia"/>
          <w:szCs w:val="32"/>
        </w:rPr>
        <w:t>[省市场监管局、省生态环境厅、省卫健委、省文化和旅游厅、省教育厅、省商务厅、省工信厅、省公安厅、省应急厅、省交通运输厅、省农业农村厅、省能源局、国家能源局西北监管局、民航西北地区管理局等部门按职责分工负责，各市（区）落实]</w:t>
      </w:r>
    </w:p>
    <w:p w:rsidR="00415660" w:rsidRDefault="00415660" w:rsidP="00415660">
      <w:pPr>
        <w:ind w:firstLineChars="200" w:firstLine="624"/>
        <w:rPr>
          <w:rFonts w:ascii="黑体" w:eastAsia="黑体" w:hAnsi="黑体" w:cs="黑体" w:hint="eastAsia"/>
          <w:color w:val="000000"/>
          <w:szCs w:val="32"/>
        </w:rPr>
      </w:pPr>
      <w:r>
        <w:rPr>
          <w:rFonts w:ascii="黑体" w:eastAsia="黑体" w:hAnsi="黑体" w:cs="黑体" w:hint="eastAsia"/>
          <w:color w:val="000000"/>
          <w:szCs w:val="32"/>
        </w:rPr>
        <w:t>三、阶段安排</w:t>
      </w:r>
    </w:p>
    <w:p w:rsidR="00415660" w:rsidRDefault="00415660" w:rsidP="00415660">
      <w:pPr>
        <w:ind w:firstLineChars="200" w:firstLine="624"/>
        <w:rPr>
          <w:rFonts w:ascii="仿宋" w:hAnsi="仿宋" w:cs="仿宋" w:hint="eastAsia"/>
          <w:szCs w:val="32"/>
        </w:rPr>
      </w:pPr>
      <w:r>
        <w:rPr>
          <w:rFonts w:ascii="仿宋" w:hAnsi="仿宋" w:cs="仿宋" w:hint="eastAsia"/>
          <w:kern w:val="0"/>
          <w:szCs w:val="32"/>
          <w:shd w:val="clear" w:color="auto" w:fill="FFFFFF"/>
        </w:rPr>
        <w:t>起止时间：2022年7月上旬至10月底。分四个阶段进行：</w:t>
      </w:r>
    </w:p>
    <w:p w:rsidR="00415660" w:rsidRDefault="00415660" w:rsidP="00415660">
      <w:pPr>
        <w:ind w:firstLineChars="200" w:firstLine="624"/>
        <w:rPr>
          <w:rFonts w:ascii="仿宋" w:hAnsi="仿宋" w:cs="仿宋" w:hint="eastAsia"/>
          <w:szCs w:val="32"/>
        </w:rPr>
      </w:pPr>
      <w:r>
        <w:rPr>
          <w:rFonts w:ascii="楷体" w:eastAsia="楷体" w:hAnsi="楷体" w:cs="楷体" w:hint="eastAsia"/>
          <w:bCs/>
          <w:color w:val="000000"/>
          <w:szCs w:val="32"/>
        </w:rPr>
        <w:t>第一阶段（7月上旬-7月中旬）：</w:t>
      </w:r>
      <w:r>
        <w:rPr>
          <w:rFonts w:ascii="仿宋" w:hAnsi="仿宋" w:cs="仿宋" w:hint="eastAsia"/>
          <w:bCs/>
          <w:color w:val="000000"/>
          <w:szCs w:val="32"/>
        </w:rPr>
        <w:t>安排部署、明确任务。</w:t>
      </w:r>
      <w:r>
        <w:rPr>
          <w:rFonts w:ascii="仿宋" w:hAnsi="仿宋" w:cs="仿宋" w:hint="eastAsia"/>
          <w:kern w:val="0"/>
          <w:szCs w:val="32"/>
          <w:shd w:val="clear" w:color="auto" w:fill="FFFFFF"/>
        </w:rPr>
        <w:t>省级各有关部门以及各设区市安委会要结合本方案，研究分析本地本部门安全生产形势，对前期安全生产领域“防风险、除隐患、保安全、迎盛会”专项整治行动排查的隐患问题进行梳理，制订“百日执法”专项行动方案，明确执法任务。</w:t>
      </w:r>
    </w:p>
    <w:p w:rsidR="00415660" w:rsidRDefault="00415660" w:rsidP="00415660">
      <w:pPr>
        <w:ind w:firstLineChars="200" w:firstLine="624"/>
        <w:rPr>
          <w:rFonts w:ascii="仿宋" w:hAnsi="仿宋" w:cs="仿宋" w:hint="eastAsia"/>
          <w:kern w:val="0"/>
          <w:szCs w:val="32"/>
          <w:shd w:val="clear" w:color="auto" w:fill="FFFFFF"/>
        </w:rPr>
      </w:pPr>
      <w:r>
        <w:rPr>
          <w:rFonts w:ascii="楷体" w:eastAsia="楷体" w:hAnsi="楷体" w:cs="楷体" w:hint="eastAsia"/>
          <w:bCs/>
          <w:color w:val="000000"/>
          <w:szCs w:val="32"/>
        </w:rPr>
        <w:t>第二阶段（7月下旬-9月上旬）：</w:t>
      </w:r>
      <w:r>
        <w:rPr>
          <w:rFonts w:ascii="仿宋" w:hAnsi="仿宋" w:cs="仿宋" w:hint="eastAsia"/>
          <w:bCs/>
          <w:color w:val="000000"/>
          <w:szCs w:val="32"/>
        </w:rPr>
        <w:t>排查整治、严格执法。</w:t>
      </w:r>
      <w:r>
        <w:rPr>
          <w:rFonts w:ascii="仿宋" w:hAnsi="仿宋" w:cs="仿宋" w:hint="eastAsia"/>
          <w:kern w:val="0"/>
          <w:szCs w:val="32"/>
          <w:shd w:val="clear" w:color="auto" w:fill="FFFFFF"/>
        </w:rPr>
        <w:t>坚持立查立改、动态清零。对查出的问题隐患，能立即整改的必须立即整改，不能立即整改的要明确整改措施、责任和时限要求。重大安全风险隐患和突出问题，要按照“一隐患一方案”的要求，落实防控措施，集中力量整改，逐一销号。对排查整治过程中梳理出的违法违规行为，要依法依规实施行政处罚。</w:t>
      </w:r>
    </w:p>
    <w:p w:rsidR="00415660" w:rsidRDefault="00415660" w:rsidP="00415660">
      <w:pPr>
        <w:pStyle w:val="Char2"/>
        <w:ind w:firstLineChars="200" w:firstLine="624"/>
        <w:rPr>
          <w:rFonts w:ascii="仿宋" w:eastAsia="仿宋" w:hAnsi="仿宋" w:cs="仿宋" w:hint="eastAsia"/>
          <w:kern w:val="0"/>
          <w:sz w:val="32"/>
          <w:szCs w:val="32"/>
          <w:shd w:val="clear" w:color="auto" w:fill="FFFFFF"/>
        </w:rPr>
      </w:pPr>
      <w:r>
        <w:rPr>
          <w:rFonts w:ascii="楷体" w:eastAsia="楷体" w:hAnsi="楷体" w:cs="楷体" w:hint="eastAsia"/>
          <w:bCs/>
          <w:color w:val="000000"/>
          <w:sz w:val="32"/>
          <w:szCs w:val="32"/>
        </w:rPr>
        <w:t>第三阶段（9月中旬-10月上旬）：</w:t>
      </w:r>
      <w:r>
        <w:rPr>
          <w:rFonts w:ascii="仿宋" w:eastAsia="仿宋" w:hAnsi="仿宋" w:cs="仿宋" w:hint="eastAsia"/>
          <w:bCs/>
          <w:color w:val="000000"/>
          <w:sz w:val="32"/>
          <w:szCs w:val="32"/>
        </w:rPr>
        <w:t>交叉执法，提升效能。</w:t>
      </w:r>
      <w:r>
        <w:rPr>
          <w:rFonts w:ascii="仿宋" w:eastAsia="仿宋" w:hAnsi="仿宋" w:cs="仿宋" w:hint="eastAsia"/>
          <w:kern w:val="0"/>
          <w:sz w:val="32"/>
          <w:szCs w:val="32"/>
          <w:shd w:val="clear" w:color="auto" w:fill="FFFFFF"/>
        </w:rPr>
        <w:t>采取“地域随机交叉、人员随机组合、抽查重点企业”的执法模式，安排精干执法力量，以部门为单位在本系统开展“异地交叉”执法。有力打击各类违法违规行为，着力破解部分基层“人情执法、关系执法”的难题，增强执法刚性，有效提升执法工作效能。</w:t>
      </w:r>
    </w:p>
    <w:p w:rsidR="00415660" w:rsidRDefault="00415660" w:rsidP="00415660">
      <w:pPr>
        <w:pStyle w:val="Char2"/>
        <w:ind w:firstLineChars="200" w:firstLine="624"/>
        <w:rPr>
          <w:rFonts w:ascii="仿宋" w:eastAsia="仿宋" w:hAnsi="仿宋" w:cs="仿宋" w:hint="eastAsia"/>
          <w:sz w:val="32"/>
          <w:szCs w:val="32"/>
        </w:rPr>
      </w:pPr>
      <w:r>
        <w:rPr>
          <w:rFonts w:ascii="楷体" w:eastAsia="楷体" w:hAnsi="楷体" w:cs="楷体" w:hint="eastAsia"/>
          <w:bCs/>
          <w:color w:val="000000"/>
          <w:sz w:val="32"/>
          <w:szCs w:val="32"/>
        </w:rPr>
        <w:t>第四阶段（10月中旬-10月下旬）。</w:t>
      </w:r>
      <w:r>
        <w:rPr>
          <w:rFonts w:ascii="仿宋" w:eastAsia="仿宋" w:hAnsi="仿宋" w:cs="仿宋" w:hint="eastAsia"/>
          <w:bCs/>
          <w:color w:val="000000"/>
          <w:sz w:val="32"/>
          <w:szCs w:val="32"/>
        </w:rPr>
        <w:t>总结经验，巩固提升。</w:t>
      </w:r>
      <w:r>
        <w:rPr>
          <w:rFonts w:ascii="仿宋" w:eastAsia="仿宋" w:hAnsi="仿宋" w:cs="仿宋" w:hint="eastAsia"/>
          <w:sz w:val="32"/>
          <w:szCs w:val="32"/>
        </w:rPr>
        <w:t>注重在执法过程中全面推行行政执法“三项制度”，全面梳理“百日执法”专项行动情况，认真总结执法经验，确保每一起执法案例都经得起法律、实践与时间的检验。</w:t>
      </w:r>
    </w:p>
    <w:p w:rsidR="00415660" w:rsidRDefault="00415660" w:rsidP="00415660">
      <w:pPr>
        <w:ind w:firstLineChars="200" w:firstLine="624"/>
        <w:rPr>
          <w:rFonts w:ascii="黑体" w:eastAsia="黑体" w:hAnsi="黑体" w:cs="黑体" w:hint="eastAsia"/>
          <w:szCs w:val="32"/>
        </w:rPr>
      </w:pPr>
      <w:r>
        <w:rPr>
          <w:rFonts w:ascii="黑体" w:eastAsia="黑体" w:hAnsi="黑体" w:cs="黑体" w:hint="eastAsia"/>
          <w:szCs w:val="32"/>
        </w:rPr>
        <w:t>四、工作要求</w:t>
      </w:r>
    </w:p>
    <w:p w:rsidR="00415660" w:rsidRDefault="00415660" w:rsidP="00415660">
      <w:pPr>
        <w:ind w:firstLineChars="200" w:firstLine="624"/>
        <w:rPr>
          <w:rFonts w:ascii="仿宋" w:hAnsi="仿宋" w:cs="仿宋" w:hint="eastAsia"/>
          <w:kern w:val="0"/>
          <w:szCs w:val="32"/>
          <w:shd w:val="clear" w:color="auto" w:fill="FFFFFF"/>
        </w:rPr>
      </w:pPr>
      <w:r>
        <w:rPr>
          <w:rFonts w:ascii="楷体" w:eastAsia="楷体" w:hAnsi="楷体" w:cs="楷体" w:hint="eastAsia"/>
          <w:szCs w:val="32"/>
        </w:rPr>
        <w:t>（一）加强组织领导，周密安排部署。</w:t>
      </w:r>
      <w:r>
        <w:rPr>
          <w:rFonts w:ascii="仿宋" w:hAnsi="仿宋" w:cs="仿宋" w:hint="eastAsia"/>
          <w:szCs w:val="32"/>
        </w:rPr>
        <w:t>各市（区）、各部门务必高度重视，严格落实</w:t>
      </w:r>
      <w:r>
        <w:rPr>
          <w:rFonts w:ascii="仿宋" w:hAnsi="仿宋" w:cs="仿宋" w:hint="eastAsia"/>
          <w:kern w:val="0"/>
          <w:szCs w:val="32"/>
          <w:shd w:val="clear" w:color="auto" w:fill="FFFFFF"/>
        </w:rPr>
        <w:t>国务院安委会安全生产“十五条硬措施”，</w:t>
      </w:r>
      <w:r>
        <w:rPr>
          <w:rFonts w:ascii="仿宋" w:hAnsi="仿宋" w:cs="仿宋" w:hint="eastAsia"/>
          <w:szCs w:val="32"/>
        </w:rPr>
        <w:t>加强组织领导，</w:t>
      </w:r>
      <w:r>
        <w:rPr>
          <w:rFonts w:ascii="仿宋" w:hAnsi="仿宋" w:cs="仿宋" w:hint="eastAsia"/>
          <w:kern w:val="0"/>
          <w:szCs w:val="32"/>
          <w:shd w:val="clear" w:color="auto" w:fill="FFFFFF"/>
        </w:rPr>
        <w:t>按照省委办公厅、省政府办公厅《关于进一步强化安全生产责任落实防范遏制重特大事故的若干措施》，</w:t>
      </w:r>
      <w:r>
        <w:rPr>
          <w:rFonts w:ascii="仿宋" w:hAnsi="仿宋" w:cs="仿宋" w:hint="eastAsia"/>
          <w:szCs w:val="32"/>
        </w:rPr>
        <w:t>落实“三管三必须”要求，落实党委政府领导责任、行业部门监管责任和企业主体责任，主要负责同志要亲自研究部署，制定本地区、本部门、本行业领域具体执法方案，</w:t>
      </w:r>
      <w:r>
        <w:rPr>
          <w:rFonts w:ascii="仿宋" w:hAnsi="仿宋" w:cs="仿宋" w:hint="eastAsia"/>
          <w:kern w:val="0"/>
          <w:szCs w:val="32"/>
          <w:shd w:val="clear" w:color="auto" w:fill="FFFFFF"/>
        </w:rPr>
        <w:t>扎实开展“百日执法”专项行动，执法活动中注重发挥执法装备设备系统的作用，力求注重实绩，取得实效，力戒形式主义、官僚主义。</w:t>
      </w:r>
    </w:p>
    <w:p w:rsidR="00415660" w:rsidRDefault="00415660" w:rsidP="00415660">
      <w:pPr>
        <w:ind w:firstLineChars="200" w:firstLine="624"/>
        <w:rPr>
          <w:rFonts w:ascii="仿宋" w:hAnsi="仿宋" w:cs="仿宋" w:hint="eastAsia"/>
          <w:szCs w:val="32"/>
        </w:rPr>
      </w:pPr>
      <w:r>
        <w:rPr>
          <w:rFonts w:ascii="楷体" w:eastAsia="楷体" w:hAnsi="楷体" w:cs="楷体" w:hint="eastAsia"/>
          <w:szCs w:val="32"/>
        </w:rPr>
        <w:t>（二）强化行政处罚，提升执法效能。</w:t>
      </w:r>
      <w:r>
        <w:rPr>
          <w:rFonts w:ascii="仿宋" w:hAnsi="仿宋" w:cs="仿宋" w:hint="eastAsia"/>
          <w:szCs w:val="32"/>
        </w:rPr>
        <w:t>省级各有关部门及各市（区）要全面落实行政执法“三项制度”，既要避免多头执法、重复执法，又要做到高危企业执法全覆盖。针对违法违规行为，该处罚的必须依法处罚，该停产停业整顿的必须停产停业整顿，经停产停业整顿仍不具备安全生产条件的，提请当地政府依法予以关闭，绝不能搞平衡、讲情面，随意降低处罚标准。要聚焦企业“第一责任人”这个“关键少数”，充分发挥“执法利剑”作用，有效提升执法威慑力。</w:t>
      </w:r>
    </w:p>
    <w:p w:rsidR="00415660" w:rsidRDefault="00415660" w:rsidP="00415660">
      <w:pPr>
        <w:ind w:firstLineChars="200" w:firstLine="624"/>
        <w:rPr>
          <w:rFonts w:ascii="仿宋" w:hAnsi="仿宋" w:cs="仿宋" w:hint="eastAsia"/>
          <w:szCs w:val="32"/>
        </w:rPr>
      </w:pPr>
      <w:r>
        <w:rPr>
          <w:rFonts w:ascii="楷体" w:eastAsia="楷体" w:hAnsi="楷体" w:cs="楷体" w:hint="eastAsia"/>
          <w:szCs w:val="32"/>
        </w:rPr>
        <w:t>（三）广泛宣传动员，营造浓厚氛围。</w:t>
      </w:r>
      <w:r>
        <w:rPr>
          <w:rFonts w:ascii="仿宋" w:hAnsi="仿宋" w:cs="仿宋" w:hint="eastAsia"/>
          <w:szCs w:val="32"/>
        </w:rPr>
        <w:t>各市（区）、各部门要充分发挥主流媒体作用，结合“安全生产月”活动安排，在报纸、电视、广播、网络等媒体持续开辟专题、专栏、专刊，广泛宣传动员，营造浓厚氛围。要通过公开举报电话、落实举报奖励等活动，提高公众的参与性。要充分发挥挂牌督办、信访举报、媒体曝光等手段，倒逼生产经营单位落实安全生产主体责任。“百日执法”专项行动开展期间，各市（区）每月至少要集中曝光1批次违法违规行政处罚案例。各市（区）、各部门要结合执法检查工作实际，安排媒体记者参与全程跟踪报道执法过程，有效督促提高企业做好安全生产工作的自觉性。</w:t>
      </w:r>
    </w:p>
    <w:p w:rsidR="00415660" w:rsidRDefault="00415660" w:rsidP="00415660">
      <w:pPr>
        <w:ind w:firstLineChars="200" w:firstLine="624"/>
        <w:rPr>
          <w:rFonts w:ascii="仿宋" w:hAnsi="仿宋" w:cs="仿宋" w:hint="eastAsia"/>
          <w:szCs w:val="32"/>
        </w:rPr>
      </w:pPr>
      <w:r>
        <w:rPr>
          <w:rFonts w:ascii="楷体" w:eastAsia="楷体" w:hAnsi="楷体" w:cs="楷体" w:hint="eastAsia"/>
          <w:szCs w:val="32"/>
        </w:rPr>
        <w:t>（四）加强统筹协调，严格信息报送。</w:t>
      </w:r>
      <w:r>
        <w:rPr>
          <w:rFonts w:ascii="仿宋" w:hAnsi="仿宋" w:cs="仿宋" w:hint="eastAsia"/>
          <w:szCs w:val="32"/>
        </w:rPr>
        <w:t>各市（区）、各部门要把“百日执法”专项行动与“防风险、除隐患、保安全、迎盛会”专项整治行动统筹结合，在全面推进专项整治行动过程中，突出执法重点。各市（区）、省级有关部门要明确一名联络员，负责工作信息报送工作，并于7月15日前将本地区、本部门《百日执法专项行动工作联系表》报省安委办；分别于7月31日、8月15日、9月23日、10月31日前将《百日执法专项行动情况统计表》与阶段执法情况小结（总结）一并报省安委办。省安委办将对“百日执法”专项行动开展情况进行不定期跟踪督办，9月下旬将组织综合督导督查，并将各地各部门“百日执法”专项行动开展情况纳入全省2022年安全生产工作考核内容。</w:t>
      </w:r>
    </w:p>
    <w:p w:rsidR="00415660" w:rsidRDefault="00415660" w:rsidP="00415660">
      <w:pPr>
        <w:ind w:firstLineChars="200" w:firstLine="624"/>
        <w:rPr>
          <w:rFonts w:ascii="仿宋" w:hAnsi="仿宋" w:cs="仿宋" w:hint="eastAsia"/>
          <w:szCs w:val="32"/>
        </w:rPr>
      </w:pPr>
      <w:r>
        <w:rPr>
          <w:rFonts w:ascii="仿宋" w:hAnsi="仿宋" w:cs="仿宋" w:hint="eastAsia"/>
          <w:szCs w:val="32"/>
        </w:rPr>
        <w:t>联系人：杨  雄  联系电话：029-61166185（带传真）</w:t>
      </w:r>
    </w:p>
    <w:p w:rsidR="00415660" w:rsidRDefault="00415660" w:rsidP="00415660">
      <w:pPr>
        <w:ind w:firstLineChars="200" w:firstLine="624"/>
        <w:rPr>
          <w:rFonts w:ascii="仿宋" w:hAnsi="仿宋" w:cs="仿宋" w:hint="eastAsia"/>
          <w:color w:val="000000"/>
          <w:szCs w:val="32"/>
        </w:rPr>
      </w:pPr>
      <w:r>
        <w:rPr>
          <w:rFonts w:ascii="仿宋" w:hAnsi="仿宋" w:cs="仿宋" w:hint="eastAsia"/>
          <w:color w:val="000000"/>
          <w:szCs w:val="32"/>
        </w:rPr>
        <w:t>邮  箱：895897769@qq.com</w:t>
      </w:r>
    </w:p>
    <w:p w:rsidR="00415660" w:rsidRDefault="00415660" w:rsidP="00415660">
      <w:pPr>
        <w:ind w:firstLineChars="200" w:firstLine="624"/>
        <w:rPr>
          <w:rFonts w:ascii="仿宋" w:hAnsi="仿宋" w:cs="仿宋" w:hint="eastAsia"/>
          <w:szCs w:val="32"/>
        </w:rPr>
      </w:pPr>
    </w:p>
    <w:p w:rsidR="00415660" w:rsidRDefault="00415660" w:rsidP="00415660">
      <w:pPr>
        <w:ind w:firstLineChars="200" w:firstLine="624"/>
        <w:rPr>
          <w:rFonts w:ascii="仿宋" w:hAnsi="仿宋" w:cs="仿宋" w:hint="eastAsia"/>
          <w:szCs w:val="32"/>
        </w:rPr>
      </w:pPr>
      <w:r>
        <w:rPr>
          <w:rFonts w:ascii="仿宋" w:hAnsi="仿宋" w:cs="仿宋" w:hint="eastAsia"/>
          <w:szCs w:val="32"/>
        </w:rPr>
        <w:t>附表：1.百日执法专项行动工作联系表</w:t>
      </w:r>
    </w:p>
    <w:p w:rsidR="00415660" w:rsidRDefault="00415660" w:rsidP="00415660">
      <w:pPr>
        <w:pStyle w:val="a7"/>
        <w:widowControl w:val="0"/>
        <w:autoSpaceDE/>
        <w:autoSpaceDN/>
        <w:ind w:firstLineChars="506" w:firstLine="1578"/>
        <w:rPr>
          <w:rFonts w:ascii="仿宋" w:eastAsia="仿宋" w:hAnsi="仿宋" w:cs="仿宋" w:hint="eastAsia"/>
          <w:sz w:val="32"/>
          <w:szCs w:val="32"/>
        </w:rPr>
      </w:pPr>
      <w:r>
        <w:rPr>
          <w:rFonts w:ascii="仿宋" w:eastAsia="仿宋" w:hAnsi="仿宋" w:cs="仿宋" w:hint="eastAsia"/>
          <w:sz w:val="32"/>
          <w:szCs w:val="32"/>
        </w:rPr>
        <w:t>2.百日执法专项行动情况统计表</w:t>
      </w:r>
    </w:p>
    <w:p w:rsidR="00415660" w:rsidRDefault="00415660" w:rsidP="00415660">
      <w:pPr>
        <w:pStyle w:val="a7"/>
        <w:widowControl w:val="0"/>
        <w:autoSpaceDE/>
        <w:autoSpaceDN/>
        <w:ind w:firstLineChars="506" w:firstLine="1578"/>
        <w:rPr>
          <w:rFonts w:ascii="仿宋" w:eastAsia="仿宋" w:hAnsi="仿宋" w:cs="仿宋"/>
          <w:sz w:val="32"/>
          <w:szCs w:val="40"/>
        </w:rPr>
      </w:pPr>
    </w:p>
    <w:p w:rsidR="00415660" w:rsidRDefault="00415660" w:rsidP="00415660">
      <w:pPr>
        <w:rPr>
          <w:rFonts w:ascii="仿宋" w:hAnsi="仿宋" w:cs="仿宋"/>
          <w:szCs w:val="40"/>
        </w:rPr>
      </w:pPr>
    </w:p>
    <w:p w:rsidR="00415660" w:rsidRDefault="00415660" w:rsidP="00415660">
      <w:pPr>
        <w:sectPr w:rsidR="00415660">
          <w:footerReference w:type="default" r:id="rId6"/>
          <w:pgSz w:w="11906" w:h="16838"/>
          <w:pgMar w:top="1701" w:right="1587" w:bottom="1587" w:left="1587" w:header="851" w:footer="964" w:gutter="0"/>
          <w:pgNumType w:fmt="numberInDash"/>
          <w:cols w:space="720"/>
          <w:docGrid w:type="linesAndChars" w:linePitch="615" w:charSpace="-1675"/>
        </w:sectPr>
      </w:pPr>
    </w:p>
    <w:p w:rsidR="00415660" w:rsidRDefault="00415660" w:rsidP="00415660">
      <w:pPr>
        <w:pStyle w:val="a7"/>
        <w:spacing w:line="600" w:lineRule="exact"/>
        <w:ind w:firstLine="0"/>
        <w:rPr>
          <w:rFonts w:ascii="黑体" w:eastAsia="黑体" w:hAnsi="黑体" w:cs="黑体"/>
          <w:sz w:val="32"/>
          <w:szCs w:val="32"/>
        </w:rPr>
      </w:pPr>
      <w:r>
        <w:rPr>
          <w:rFonts w:ascii="黑体" w:eastAsia="黑体" w:hAnsi="黑体" w:cs="黑体" w:hint="eastAsia"/>
          <w:sz w:val="32"/>
          <w:szCs w:val="32"/>
        </w:rPr>
        <w:t>附表1</w:t>
      </w:r>
    </w:p>
    <w:p w:rsidR="00415660" w:rsidRDefault="00415660" w:rsidP="00415660">
      <w:pPr>
        <w:spacing w:line="200" w:lineRule="exact"/>
      </w:pPr>
    </w:p>
    <w:p w:rsidR="00415660" w:rsidRDefault="00415660" w:rsidP="0041566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百日执法专项行动工作联系表</w:t>
      </w:r>
    </w:p>
    <w:p w:rsidR="00415660" w:rsidRDefault="00415660" w:rsidP="00415660">
      <w:pPr>
        <w:spacing w:line="200" w:lineRule="exact"/>
        <w:jc w:val="center"/>
        <w:rPr>
          <w:rFonts w:ascii="方正小标宋简体" w:eastAsia="方正小标宋简体" w:hAnsi="方正小标宋简体" w:cs="方正小标宋简体"/>
          <w:sz w:val="44"/>
          <w:szCs w:val="44"/>
        </w:rPr>
      </w:pPr>
    </w:p>
    <w:p w:rsidR="00415660" w:rsidRDefault="00415660" w:rsidP="00415660">
      <w:pPr>
        <w:spacing w:line="6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填报单位：                                                     填报时间：2022年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2499"/>
        <w:gridCol w:w="2151"/>
        <w:gridCol w:w="1290"/>
        <w:gridCol w:w="1859"/>
        <w:gridCol w:w="2008"/>
        <w:gridCol w:w="2493"/>
      </w:tblGrid>
      <w:tr w:rsidR="00415660" w:rsidTr="00D36F4D">
        <w:trPr>
          <w:trHeight w:val="780"/>
          <w:jc w:val="center"/>
        </w:trPr>
        <w:tc>
          <w:tcPr>
            <w:tcW w:w="6124" w:type="dxa"/>
            <w:gridSpan w:val="3"/>
            <w:vAlign w:val="center"/>
          </w:tcPr>
          <w:p w:rsidR="00415660" w:rsidRDefault="00415660" w:rsidP="00D36F4D">
            <w:pPr>
              <w:spacing w:line="620" w:lineRule="exact"/>
              <w:jc w:val="center"/>
              <w:rPr>
                <w:rFonts w:ascii="黑体" w:eastAsia="黑体" w:hAnsi="黑体" w:cs="黑体"/>
                <w:sz w:val="28"/>
                <w:szCs w:val="28"/>
              </w:rPr>
            </w:pPr>
            <w:r>
              <w:rPr>
                <w:rFonts w:ascii="黑体" w:eastAsia="黑体" w:hAnsi="黑体" w:cs="黑体" w:hint="eastAsia"/>
                <w:sz w:val="28"/>
                <w:szCs w:val="28"/>
              </w:rPr>
              <w:t>行动负责人</w:t>
            </w:r>
          </w:p>
        </w:tc>
        <w:tc>
          <w:tcPr>
            <w:tcW w:w="7650" w:type="dxa"/>
            <w:gridSpan w:val="4"/>
            <w:vAlign w:val="center"/>
          </w:tcPr>
          <w:p w:rsidR="00415660" w:rsidRDefault="00415660" w:rsidP="00D36F4D">
            <w:pPr>
              <w:spacing w:line="620" w:lineRule="exact"/>
              <w:jc w:val="center"/>
              <w:rPr>
                <w:rFonts w:ascii="黑体" w:eastAsia="黑体" w:hAnsi="黑体" w:cs="黑体"/>
                <w:sz w:val="28"/>
                <w:szCs w:val="28"/>
              </w:rPr>
            </w:pPr>
            <w:r>
              <w:rPr>
                <w:rFonts w:ascii="黑体" w:eastAsia="黑体" w:hAnsi="黑体" w:cs="黑体" w:hint="eastAsia"/>
                <w:sz w:val="28"/>
                <w:szCs w:val="28"/>
              </w:rPr>
              <w:t>联系人</w:t>
            </w:r>
          </w:p>
        </w:tc>
      </w:tr>
      <w:tr w:rsidR="00415660" w:rsidTr="00D36F4D">
        <w:trPr>
          <w:trHeight w:hRule="exact" w:val="678"/>
          <w:jc w:val="center"/>
        </w:trPr>
        <w:tc>
          <w:tcPr>
            <w:tcW w:w="1474" w:type="dxa"/>
            <w:vMerge w:val="restart"/>
            <w:vAlign w:val="center"/>
          </w:tcPr>
          <w:p w:rsidR="00415660" w:rsidRDefault="00415660" w:rsidP="00D36F4D">
            <w:pPr>
              <w:spacing w:line="620" w:lineRule="exact"/>
              <w:jc w:val="center"/>
              <w:rPr>
                <w:rFonts w:ascii="黑体" w:eastAsia="黑体" w:hAnsi="黑体" w:cs="黑体"/>
                <w:sz w:val="24"/>
                <w:szCs w:val="24"/>
              </w:rPr>
            </w:pPr>
            <w:r>
              <w:rPr>
                <w:rFonts w:ascii="黑体" w:eastAsia="黑体" w:hAnsi="黑体" w:cs="黑体" w:hint="eastAsia"/>
                <w:sz w:val="24"/>
                <w:szCs w:val="24"/>
              </w:rPr>
              <w:t>姓 名</w:t>
            </w:r>
          </w:p>
        </w:tc>
        <w:tc>
          <w:tcPr>
            <w:tcW w:w="4650" w:type="dxa"/>
            <w:gridSpan w:val="2"/>
            <w:vAlign w:val="center"/>
          </w:tcPr>
          <w:p w:rsidR="00415660" w:rsidRDefault="00415660" w:rsidP="00D36F4D">
            <w:pPr>
              <w:spacing w:line="620" w:lineRule="exact"/>
              <w:jc w:val="center"/>
              <w:rPr>
                <w:rFonts w:ascii="黑体" w:eastAsia="黑体" w:hAnsi="黑体" w:cs="黑体"/>
                <w:sz w:val="24"/>
                <w:szCs w:val="24"/>
              </w:rPr>
            </w:pPr>
            <w:r>
              <w:rPr>
                <w:rFonts w:ascii="黑体" w:eastAsia="黑体" w:hAnsi="黑体" w:cs="黑体" w:hint="eastAsia"/>
                <w:sz w:val="24"/>
                <w:szCs w:val="24"/>
              </w:rPr>
              <w:t>联系方式</w:t>
            </w:r>
          </w:p>
        </w:tc>
        <w:tc>
          <w:tcPr>
            <w:tcW w:w="1290" w:type="dxa"/>
            <w:vMerge w:val="restart"/>
            <w:vAlign w:val="center"/>
          </w:tcPr>
          <w:p w:rsidR="00415660" w:rsidRDefault="00415660" w:rsidP="00D36F4D">
            <w:pPr>
              <w:spacing w:line="620" w:lineRule="exact"/>
              <w:jc w:val="center"/>
              <w:rPr>
                <w:rFonts w:ascii="黑体" w:eastAsia="黑体" w:hAnsi="黑体" w:cs="黑体"/>
                <w:sz w:val="24"/>
                <w:szCs w:val="24"/>
              </w:rPr>
            </w:pPr>
            <w:r>
              <w:rPr>
                <w:rFonts w:ascii="黑体" w:eastAsia="黑体" w:hAnsi="黑体" w:cs="黑体" w:hint="eastAsia"/>
                <w:sz w:val="24"/>
                <w:szCs w:val="24"/>
              </w:rPr>
              <w:t>姓 名</w:t>
            </w:r>
          </w:p>
        </w:tc>
        <w:tc>
          <w:tcPr>
            <w:tcW w:w="6360" w:type="dxa"/>
            <w:gridSpan w:val="3"/>
            <w:vAlign w:val="center"/>
          </w:tcPr>
          <w:p w:rsidR="00415660" w:rsidRDefault="00415660" w:rsidP="00D36F4D">
            <w:pPr>
              <w:spacing w:line="620" w:lineRule="exact"/>
              <w:jc w:val="center"/>
              <w:rPr>
                <w:rFonts w:ascii="黑体" w:eastAsia="黑体" w:hAnsi="黑体" w:cs="黑体"/>
                <w:sz w:val="24"/>
                <w:szCs w:val="24"/>
              </w:rPr>
            </w:pPr>
            <w:r>
              <w:rPr>
                <w:rFonts w:ascii="黑体" w:eastAsia="黑体" w:hAnsi="黑体" w:cs="黑体" w:hint="eastAsia"/>
                <w:sz w:val="24"/>
                <w:szCs w:val="24"/>
              </w:rPr>
              <w:t>联系方式</w:t>
            </w:r>
          </w:p>
        </w:tc>
      </w:tr>
      <w:tr w:rsidR="00415660" w:rsidTr="00D36F4D">
        <w:trPr>
          <w:trHeight w:hRule="exact" w:val="705"/>
          <w:jc w:val="center"/>
        </w:trPr>
        <w:tc>
          <w:tcPr>
            <w:tcW w:w="1474" w:type="dxa"/>
            <w:vMerge/>
            <w:vAlign w:val="center"/>
          </w:tcPr>
          <w:p w:rsidR="00415660" w:rsidRDefault="00415660" w:rsidP="00D36F4D">
            <w:pPr>
              <w:spacing w:line="620" w:lineRule="exact"/>
              <w:jc w:val="center"/>
              <w:rPr>
                <w:rFonts w:ascii="黑体" w:eastAsia="黑体" w:hAnsi="黑体" w:cs="黑体"/>
                <w:sz w:val="24"/>
                <w:szCs w:val="24"/>
              </w:rPr>
            </w:pPr>
          </w:p>
        </w:tc>
        <w:tc>
          <w:tcPr>
            <w:tcW w:w="2499" w:type="dxa"/>
            <w:vAlign w:val="center"/>
          </w:tcPr>
          <w:p w:rsidR="00415660" w:rsidRDefault="00415660" w:rsidP="00D36F4D">
            <w:pPr>
              <w:spacing w:line="620" w:lineRule="exact"/>
              <w:jc w:val="center"/>
              <w:rPr>
                <w:rFonts w:ascii="黑体" w:eastAsia="黑体" w:hAnsi="黑体" w:cs="黑体"/>
                <w:sz w:val="24"/>
                <w:szCs w:val="24"/>
              </w:rPr>
            </w:pPr>
            <w:r>
              <w:rPr>
                <w:rFonts w:ascii="黑体" w:eastAsia="黑体" w:hAnsi="黑体" w:cs="黑体" w:hint="eastAsia"/>
                <w:sz w:val="24"/>
                <w:szCs w:val="24"/>
              </w:rPr>
              <w:t>手 机</w:t>
            </w:r>
          </w:p>
        </w:tc>
        <w:tc>
          <w:tcPr>
            <w:tcW w:w="2151" w:type="dxa"/>
            <w:vAlign w:val="center"/>
          </w:tcPr>
          <w:p w:rsidR="00415660" w:rsidRDefault="00415660" w:rsidP="00D36F4D">
            <w:pPr>
              <w:spacing w:line="620" w:lineRule="exact"/>
              <w:jc w:val="center"/>
              <w:rPr>
                <w:rFonts w:ascii="黑体" w:eastAsia="黑体" w:hAnsi="黑体" w:cs="黑体"/>
                <w:sz w:val="24"/>
                <w:szCs w:val="24"/>
              </w:rPr>
            </w:pPr>
            <w:r>
              <w:rPr>
                <w:rFonts w:ascii="黑体" w:eastAsia="黑体" w:hAnsi="黑体" w:cs="黑体" w:hint="eastAsia"/>
                <w:sz w:val="24"/>
                <w:szCs w:val="24"/>
              </w:rPr>
              <w:t>座 机</w:t>
            </w:r>
          </w:p>
        </w:tc>
        <w:tc>
          <w:tcPr>
            <w:tcW w:w="1290" w:type="dxa"/>
            <w:vMerge/>
            <w:vAlign w:val="center"/>
          </w:tcPr>
          <w:p w:rsidR="00415660" w:rsidRDefault="00415660" w:rsidP="00D36F4D">
            <w:pPr>
              <w:spacing w:line="620" w:lineRule="exact"/>
              <w:jc w:val="center"/>
              <w:rPr>
                <w:rFonts w:ascii="黑体" w:eastAsia="黑体" w:hAnsi="黑体" w:cs="黑体"/>
                <w:sz w:val="24"/>
                <w:szCs w:val="24"/>
              </w:rPr>
            </w:pPr>
          </w:p>
        </w:tc>
        <w:tc>
          <w:tcPr>
            <w:tcW w:w="1859" w:type="dxa"/>
            <w:vAlign w:val="center"/>
          </w:tcPr>
          <w:p w:rsidR="00415660" w:rsidRDefault="00415660" w:rsidP="00D36F4D">
            <w:pPr>
              <w:spacing w:line="620" w:lineRule="exact"/>
              <w:jc w:val="center"/>
              <w:rPr>
                <w:rFonts w:ascii="黑体" w:eastAsia="黑体" w:hAnsi="黑体" w:cs="黑体"/>
                <w:sz w:val="24"/>
                <w:szCs w:val="24"/>
              </w:rPr>
            </w:pPr>
            <w:r>
              <w:rPr>
                <w:rFonts w:ascii="黑体" w:eastAsia="黑体" w:hAnsi="黑体" w:cs="黑体" w:hint="eastAsia"/>
                <w:sz w:val="24"/>
                <w:szCs w:val="24"/>
              </w:rPr>
              <w:t>手 机</w:t>
            </w:r>
          </w:p>
        </w:tc>
        <w:tc>
          <w:tcPr>
            <w:tcW w:w="2008" w:type="dxa"/>
            <w:vAlign w:val="center"/>
          </w:tcPr>
          <w:p w:rsidR="00415660" w:rsidRDefault="00415660" w:rsidP="00D36F4D">
            <w:pPr>
              <w:spacing w:line="620" w:lineRule="exact"/>
              <w:jc w:val="center"/>
              <w:rPr>
                <w:rFonts w:ascii="黑体" w:eastAsia="黑体" w:hAnsi="黑体" w:cs="黑体"/>
                <w:sz w:val="24"/>
                <w:szCs w:val="24"/>
              </w:rPr>
            </w:pPr>
            <w:r>
              <w:rPr>
                <w:rFonts w:ascii="黑体" w:eastAsia="黑体" w:hAnsi="黑体" w:cs="黑体" w:hint="eastAsia"/>
                <w:sz w:val="24"/>
                <w:szCs w:val="24"/>
              </w:rPr>
              <w:t>座 机</w:t>
            </w:r>
          </w:p>
        </w:tc>
        <w:tc>
          <w:tcPr>
            <w:tcW w:w="2493" w:type="dxa"/>
            <w:vAlign w:val="center"/>
          </w:tcPr>
          <w:p w:rsidR="00415660" w:rsidRDefault="00415660" w:rsidP="00D36F4D">
            <w:pPr>
              <w:spacing w:line="620" w:lineRule="exact"/>
              <w:jc w:val="center"/>
              <w:rPr>
                <w:rFonts w:ascii="黑体" w:eastAsia="黑体" w:hAnsi="黑体" w:cs="黑体"/>
                <w:sz w:val="24"/>
                <w:szCs w:val="24"/>
              </w:rPr>
            </w:pPr>
            <w:r>
              <w:rPr>
                <w:rFonts w:ascii="黑体" w:eastAsia="黑体" w:hAnsi="黑体" w:cs="黑体" w:hint="eastAsia"/>
                <w:sz w:val="24"/>
                <w:szCs w:val="24"/>
              </w:rPr>
              <w:t>传 真</w:t>
            </w:r>
          </w:p>
        </w:tc>
      </w:tr>
      <w:tr w:rsidR="00415660" w:rsidTr="00D36F4D">
        <w:trPr>
          <w:trHeight w:hRule="exact" w:val="1009"/>
          <w:jc w:val="center"/>
        </w:trPr>
        <w:tc>
          <w:tcPr>
            <w:tcW w:w="1474" w:type="dxa"/>
            <w:vAlign w:val="center"/>
          </w:tcPr>
          <w:p w:rsidR="00415660" w:rsidRDefault="00415660" w:rsidP="00D36F4D">
            <w:pPr>
              <w:spacing w:line="620" w:lineRule="exact"/>
              <w:jc w:val="center"/>
              <w:rPr>
                <w:sz w:val="24"/>
              </w:rPr>
            </w:pPr>
          </w:p>
        </w:tc>
        <w:tc>
          <w:tcPr>
            <w:tcW w:w="2499" w:type="dxa"/>
            <w:vAlign w:val="center"/>
          </w:tcPr>
          <w:p w:rsidR="00415660" w:rsidRDefault="00415660" w:rsidP="00D36F4D">
            <w:pPr>
              <w:spacing w:line="620" w:lineRule="exact"/>
              <w:jc w:val="center"/>
              <w:rPr>
                <w:sz w:val="24"/>
              </w:rPr>
            </w:pPr>
          </w:p>
        </w:tc>
        <w:tc>
          <w:tcPr>
            <w:tcW w:w="2151" w:type="dxa"/>
            <w:vAlign w:val="center"/>
          </w:tcPr>
          <w:p w:rsidR="00415660" w:rsidRDefault="00415660" w:rsidP="00D36F4D">
            <w:pPr>
              <w:spacing w:line="620" w:lineRule="exact"/>
              <w:jc w:val="center"/>
              <w:rPr>
                <w:sz w:val="24"/>
              </w:rPr>
            </w:pPr>
          </w:p>
        </w:tc>
        <w:tc>
          <w:tcPr>
            <w:tcW w:w="1290" w:type="dxa"/>
            <w:vAlign w:val="center"/>
          </w:tcPr>
          <w:p w:rsidR="00415660" w:rsidRDefault="00415660" w:rsidP="00D36F4D">
            <w:pPr>
              <w:spacing w:line="620" w:lineRule="exact"/>
              <w:jc w:val="center"/>
              <w:rPr>
                <w:sz w:val="24"/>
              </w:rPr>
            </w:pPr>
          </w:p>
        </w:tc>
        <w:tc>
          <w:tcPr>
            <w:tcW w:w="1859" w:type="dxa"/>
            <w:vAlign w:val="center"/>
          </w:tcPr>
          <w:p w:rsidR="00415660" w:rsidRDefault="00415660" w:rsidP="00D36F4D">
            <w:pPr>
              <w:spacing w:line="620" w:lineRule="exact"/>
              <w:jc w:val="center"/>
              <w:rPr>
                <w:sz w:val="24"/>
              </w:rPr>
            </w:pPr>
          </w:p>
        </w:tc>
        <w:tc>
          <w:tcPr>
            <w:tcW w:w="2008" w:type="dxa"/>
            <w:vAlign w:val="center"/>
          </w:tcPr>
          <w:p w:rsidR="00415660" w:rsidRDefault="00415660" w:rsidP="00D36F4D">
            <w:pPr>
              <w:spacing w:line="620" w:lineRule="exact"/>
              <w:jc w:val="center"/>
              <w:rPr>
                <w:sz w:val="24"/>
              </w:rPr>
            </w:pPr>
          </w:p>
        </w:tc>
        <w:tc>
          <w:tcPr>
            <w:tcW w:w="2493" w:type="dxa"/>
            <w:vAlign w:val="center"/>
          </w:tcPr>
          <w:p w:rsidR="00415660" w:rsidRDefault="00415660" w:rsidP="00D36F4D">
            <w:pPr>
              <w:spacing w:line="620" w:lineRule="exact"/>
              <w:jc w:val="center"/>
              <w:rPr>
                <w:sz w:val="24"/>
              </w:rPr>
            </w:pPr>
          </w:p>
        </w:tc>
      </w:tr>
      <w:tr w:rsidR="00415660" w:rsidTr="00D36F4D">
        <w:trPr>
          <w:trHeight w:hRule="exact" w:val="1020"/>
          <w:jc w:val="center"/>
        </w:trPr>
        <w:tc>
          <w:tcPr>
            <w:tcW w:w="1474" w:type="dxa"/>
            <w:vAlign w:val="center"/>
          </w:tcPr>
          <w:p w:rsidR="00415660" w:rsidRDefault="00415660" w:rsidP="00D36F4D">
            <w:pPr>
              <w:spacing w:line="620" w:lineRule="exact"/>
              <w:jc w:val="center"/>
              <w:rPr>
                <w:sz w:val="24"/>
              </w:rPr>
            </w:pPr>
          </w:p>
        </w:tc>
        <w:tc>
          <w:tcPr>
            <w:tcW w:w="2499" w:type="dxa"/>
            <w:vAlign w:val="center"/>
          </w:tcPr>
          <w:p w:rsidR="00415660" w:rsidRDefault="00415660" w:rsidP="00D36F4D">
            <w:pPr>
              <w:spacing w:line="620" w:lineRule="exact"/>
              <w:jc w:val="center"/>
              <w:rPr>
                <w:sz w:val="24"/>
              </w:rPr>
            </w:pPr>
          </w:p>
        </w:tc>
        <w:tc>
          <w:tcPr>
            <w:tcW w:w="2151" w:type="dxa"/>
            <w:vAlign w:val="center"/>
          </w:tcPr>
          <w:p w:rsidR="00415660" w:rsidRDefault="00415660" w:rsidP="00D36F4D">
            <w:pPr>
              <w:spacing w:line="620" w:lineRule="exact"/>
              <w:jc w:val="center"/>
              <w:rPr>
                <w:sz w:val="24"/>
              </w:rPr>
            </w:pPr>
          </w:p>
        </w:tc>
        <w:tc>
          <w:tcPr>
            <w:tcW w:w="1290" w:type="dxa"/>
            <w:vAlign w:val="center"/>
          </w:tcPr>
          <w:p w:rsidR="00415660" w:rsidRDefault="00415660" w:rsidP="00D36F4D">
            <w:pPr>
              <w:spacing w:line="620" w:lineRule="exact"/>
              <w:jc w:val="center"/>
              <w:rPr>
                <w:sz w:val="24"/>
              </w:rPr>
            </w:pPr>
          </w:p>
        </w:tc>
        <w:tc>
          <w:tcPr>
            <w:tcW w:w="1859" w:type="dxa"/>
            <w:vAlign w:val="center"/>
          </w:tcPr>
          <w:p w:rsidR="00415660" w:rsidRDefault="00415660" w:rsidP="00D36F4D">
            <w:pPr>
              <w:spacing w:line="620" w:lineRule="exact"/>
              <w:jc w:val="center"/>
              <w:rPr>
                <w:sz w:val="24"/>
              </w:rPr>
            </w:pPr>
          </w:p>
        </w:tc>
        <w:tc>
          <w:tcPr>
            <w:tcW w:w="2008" w:type="dxa"/>
            <w:vAlign w:val="center"/>
          </w:tcPr>
          <w:p w:rsidR="00415660" w:rsidRDefault="00415660" w:rsidP="00D36F4D">
            <w:pPr>
              <w:spacing w:line="620" w:lineRule="exact"/>
              <w:jc w:val="center"/>
              <w:rPr>
                <w:sz w:val="24"/>
              </w:rPr>
            </w:pPr>
          </w:p>
        </w:tc>
        <w:tc>
          <w:tcPr>
            <w:tcW w:w="2493" w:type="dxa"/>
            <w:vAlign w:val="center"/>
          </w:tcPr>
          <w:p w:rsidR="00415660" w:rsidRDefault="00415660" w:rsidP="00D36F4D">
            <w:pPr>
              <w:spacing w:line="620" w:lineRule="exact"/>
              <w:jc w:val="center"/>
              <w:rPr>
                <w:sz w:val="24"/>
              </w:rPr>
            </w:pPr>
          </w:p>
        </w:tc>
      </w:tr>
    </w:tbl>
    <w:p w:rsidR="00415660" w:rsidRDefault="00415660" w:rsidP="00415660">
      <w:pPr>
        <w:pStyle w:val="a7"/>
        <w:spacing w:line="620" w:lineRule="exact"/>
        <w:ind w:firstLineChars="100" w:firstLine="240"/>
        <w:rPr>
          <w:rFonts w:hAnsi="宋体" w:cs="宋体" w:hint="eastAsia"/>
          <w:color w:val="000000"/>
          <w:sz w:val="24"/>
          <w:szCs w:val="24"/>
        </w:rPr>
      </w:pPr>
      <w:r>
        <w:rPr>
          <w:rFonts w:hAnsi="宋体" w:cs="宋体" w:hint="eastAsia"/>
          <w:color w:val="000000"/>
          <w:sz w:val="24"/>
          <w:szCs w:val="24"/>
        </w:rPr>
        <w:t>说明：本表由省级各有关部门、各市安委办汇总后分别于7月15日前报省委办。（895897769@qq.com）</w:t>
      </w:r>
    </w:p>
    <w:p w:rsidR="00415660" w:rsidRDefault="00415660" w:rsidP="00415660">
      <w:pPr>
        <w:spacing w:line="620" w:lineRule="exact"/>
      </w:pPr>
    </w:p>
    <w:p w:rsidR="00415660" w:rsidRDefault="00415660" w:rsidP="00415660">
      <w:pPr>
        <w:pStyle w:val="a7"/>
        <w:spacing w:line="620" w:lineRule="exact"/>
      </w:pPr>
    </w:p>
    <w:p w:rsidR="00415660" w:rsidRDefault="00415660" w:rsidP="00415660">
      <w:pPr>
        <w:pStyle w:val="a7"/>
        <w:spacing w:line="600" w:lineRule="exact"/>
        <w:ind w:firstLine="0"/>
        <w:rPr>
          <w:rFonts w:ascii="黑体" w:eastAsia="黑体" w:hAnsi="黑体" w:cs="黑体"/>
          <w:sz w:val="32"/>
          <w:szCs w:val="32"/>
        </w:rPr>
      </w:pPr>
      <w:r>
        <w:rPr>
          <w:rFonts w:ascii="黑体" w:eastAsia="黑体" w:hAnsi="黑体" w:cs="黑体" w:hint="eastAsia"/>
          <w:sz w:val="32"/>
          <w:szCs w:val="32"/>
        </w:rPr>
        <w:t>附表2</w:t>
      </w:r>
    </w:p>
    <w:p w:rsidR="00415660" w:rsidRDefault="00415660" w:rsidP="00415660">
      <w:pPr>
        <w:spacing w:line="200" w:lineRule="exact"/>
        <w:rPr>
          <w:rFonts w:ascii="方正小标宋简体" w:eastAsia="方正小标宋简体" w:hAnsi="方正小标宋简体" w:cs="方正小标宋简体"/>
          <w:sz w:val="44"/>
          <w:szCs w:val="44"/>
        </w:rPr>
      </w:pPr>
    </w:p>
    <w:p w:rsidR="00415660" w:rsidRDefault="00415660" w:rsidP="00415660">
      <w:pPr>
        <w:spacing w:line="62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百日执法专项行动情况统计表</w:t>
      </w:r>
    </w:p>
    <w:p w:rsidR="00415660" w:rsidRDefault="00415660" w:rsidP="00415660">
      <w:pPr>
        <w:spacing w:line="200" w:lineRule="exact"/>
        <w:jc w:val="center"/>
        <w:rPr>
          <w:rFonts w:ascii="方正小标宋简体" w:eastAsia="方正小标宋简体" w:hAnsi="方正小标宋简体" w:cs="方正小标宋简体"/>
          <w:color w:val="000000"/>
          <w:sz w:val="44"/>
          <w:szCs w:val="44"/>
        </w:rPr>
      </w:pPr>
    </w:p>
    <w:p w:rsidR="00415660" w:rsidRDefault="00415660" w:rsidP="00415660">
      <w:pPr>
        <w:spacing w:line="620" w:lineRule="exact"/>
        <w:rPr>
          <w:rFonts w:ascii="仿宋" w:hAnsi="仿宋"/>
          <w:color w:val="000000"/>
          <w:kern w:val="0"/>
          <w:sz w:val="24"/>
          <w:szCs w:val="24"/>
        </w:rPr>
      </w:pPr>
      <w:r>
        <w:rPr>
          <w:rFonts w:ascii="宋体" w:eastAsia="宋体" w:hAnsi="宋体" w:cs="宋体" w:hint="eastAsia"/>
          <w:color w:val="000000"/>
          <w:kern w:val="0"/>
          <w:sz w:val="24"/>
          <w:szCs w:val="24"/>
        </w:rPr>
        <w:t>填报单位（签章）：             填表人:                  联系电话:                       填报时间：2022年  月  日</w:t>
      </w:r>
    </w:p>
    <w:tbl>
      <w:tblPr>
        <w:tblW w:w="0" w:type="auto"/>
        <w:jc w:val="center"/>
        <w:tblLayout w:type="fixed"/>
        <w:tblLook w:val="0000" w:firstRow="0" w:lastRow="0" w:firstColumn="0" w:lastColumn="0" w:noHBand="0" w:noVBand="0"/>
      </w:tblPr>
      <w:tblGrid>
        <w:gridCol w:w="2030"/>
        <w:gridCol w:w="851"/>
        <w:gridCol w:w="854"/>
        <w:gridCol w:w="1137"/>
        <w:gridCol w:w="995"/>
        <w:gridCol w:w="958"/>
        <w:gridCol w:w="995"/>
        <w:gridCol w:w="851"/>
        <w:gridCol w:w="1068"/>
        <w:gridCol w:w="808"/>
        <w:gridCol w:w="1003"/>
        <w:gridCol w:w="996"/>
        <w:gridCol w:w="910"/>
        <w:gridCol w:w="898"/>
      </w:tblGrid>
      <w:tr w:rsidR="00415660" w:rsidTr="00D36F4D">
        <w:trPr>
          <w:trHeight w:val="1660"/>
          <w:jc w:val="center"/>
        </w:trPr>
        <w:tc>
          <w:tcPr>
            <w:tcW w:w="2030" w:type="dxa"/>
            <w:tcBorders>
              <w:top w:val="single" w:sz="8" w:space="0" w:color="auto"/>
              <w:left w:val="single" w:sz="8" w:space="0" w:color="auto"/>
              <w:bottom w:val="single" w:sz="4" w:space="0" w:color="000000"/>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hint="eastAsia"/>
                <w:bCs/>
                <w:color w:val="000000"/>
                <w:kern w:val="0"/>
                <w:sz w:val="24"/>
                <w:szCs w:val="24"/>
              </w:rPr>
              <w:t>行业领域</w:t>
            </w:r>
          </w:p>
        </w:tc>
        <w:tc>
          <w:tcPr>
            <w:tcW w:w="851" w:type="dxa"/>
            <w:tcBorders>
              <w:top w:val="single" w:sz="4" w:space="0" w:color="auto"/>
              <w:left w:val="single" w:sz="4" w:space="0" w:color="auto"/>
              <w:bottom w:val="single" w:sz="4" w:space="0" w:color="auto"/>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hint="eastAsia"/>
                <w:bCs/>
                <w:color w:val="000000"/>
                <w:kern w:val="0"/>
                <w:sz w:val="24"/>
                <w:szCs w:val="24"/>
              </w:rPr>
              <w:t>执法检查企业（家）</w:t>
            </w:r>
          </w:p>
        </w:tc>
        <w:tc>
          <w:tcPr>
            <w:tcW w:w="854" w:type="dxa"/>
            <w:tcBorders>
              <w:top w:val="single" w:sz="4" w:space="0" w:color="auto"/>
              <w:left w:val="single" w:sz="4" w:space="0" w:color="auto"/>
              <w:bottom w:val="single" w:sz="4" w:space="0" w:color="auto"/>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bCs/>
                <w:color w:val="000000"/>
                <w:kern w:val="0"/>
                <w:sz w:val="24"/>
                <w:szCs w:val="24"/>
              </w:rPr>
              <w:t>发现违法行为（起）</w:t>
            </w:r>
          </w:p>
        </w:tc>
        <w:tc>
          <w:tcPr>
            <w:tcW w:w="1137"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bCs/>
                <w:color w:val="000000"/>
                <w:kern w:val="0"/>
                <w:sz w:val="24"/>
                <w:szCs w:val="24"/>
              </w:rPr>
              <w:t>下达责令限期整改指令书（份）</w:t>
            </w:r>
          </w:p>
        </w:tc>
        <w:tc>
          <w:tcPr>
            <w:tcW w:w="995"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bCs/>
                <w:color w:val="000000"/>
                <w:kern w:val="0"/>
                <w:sz w:val="24"/>
                <w:szCs w:val="24"/>
              </w:rPr>
              <w:t>下达行政处罚决定书（份）</w:t>
            </w:r>
          </w:p>
        </w:tc>
        <w:tc>
          <w:tcPr>
            <w:tcW w:w="95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bCs/>
                <w:color w:val="000000"/>
                <w:kern w:val="0"/>
                <w:sz w:val="24"/>
                <w:szCs w:val="24"/>
              </w:rPr>
              <w:t>制作强制执行申请书（份）</w:t>
            </w:r>
          </w:p>
        </w:tc>
        <w:tc>
          <w:tcPr>
            <w:tcW w:w="995"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hint="eastAsia"/>
                <w:bCs/>
                <w:color w:val="000000"/>
                <w:kern w:val="0"/>
                <w:sz w:val="24"/>
                <w:szCs w:val="24"/>
              </w:rPr>
              <w:t>制作</w:t>
            </w:r>
            <w:r>
              <w:rPr>
                <w:rFonts w:ascii="黑体" w:eastAsia="黑体" w:hAnsi="黑体"/>
                <w:bCs/>
                <w:color w:val="000000"/>
                <w:kern w:val="0"/>
                <w:sz w:val="24"/>
                <w:szCs w:val="24"/>
              </w:rPr>
              <w:t>案件移送</w:t>
            </w:r>
            <w:r>
              <w:rPr>
                <w:rFonts w:ascii="黑体" w:eastAsia="黑体" w:hAnsi="黑体" w:hint="eastAsia"/>
                <w:bCs/>
                <w:color w:val="000000"/>
                <w:kern w:val="0"/>
                <w:sz w:val="24"/>
                <w:szCs w:val="24"/>
              </w:rPr>
              <w:t>通知书（份）</w:t>
            </w:r>
          </w:p>
        </w:tc>
        <w:tc>
          <w:tcPr>
            <w:tcW w:w="851"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bCs/>
                <w:color w:val="000000"/>
                <w:kern w:val="0"/>
                <w:sz w:val="24"/>
                <w:szCs w:val="24"/>
              </w:rPr>
              <w:t>立案查处违法行为（起）</w:t>
            </w:r>
          </w:p>
        </w:tc>
        <w:tc>
          <w:tcPr>
            <w:tcW w:w="106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hint="eastAsia"/>
                <w:bCs/>
                <w:color w:val="000000"/>
                <w:kern w:val="0"/>
                <w:sz w:val="24"/>
                <w:szCs w:val="24"/>
              </w:rPr>
              <w:t>行政</w:t>
            </w:r>
          </w:p>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hint="eastAsia"/>
                <w:bCs/>
                <w:color w:val="000000"/>
                <w:kern w:val="0"/>
                <w:sz w:val="24"/>
                <w:szCs w:val="24"/>
              </w:rPr>
              <w:t>处罚</w:t>
            </w:r>
          </w:p>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bCs/>
                <w:color w:val="000000"/>
                <w:kern w:val="0"/>
                <w:sz w:val="24"/>
                <w:szCs w:val="24"/>
              </w:rPr>
              <w:t>(万元)</w:t>
            </w:r>
          </w:p>
        </w:tc>
        <w:tc>
          <w:tcPr>
            <w:tcW w:w="80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bCs/>
                <w:color w:val="000000"/>
                <w:kern w:val="0"/>
                <w:sz w:val="24"/>
                <w:szCs w:val="24"/>
              </w:rPr>
              <w:t>停产停业整顿(家)</w:t>
            </w:r>
          </w:p>
        </w:tc>
        <w:tc>
          <w:tcPr>
            <w:tcW w:w="1003" w:type="dxa"/>
            <w:tcBorders>
              <w:top w:val="single" w:sz="4" w:space="0" w:color="auto"/>
              <w:left w:val="single" w:sz="4" w:space="0" w:color="auto"/>
              <w:bottom w:val="single" w:sz="4" w:space="0" w:color="000000"/>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bCs/>
                <w:color w:val="000000"/>
                <w:kern w:val="0"/>
                <w:sz w:val="24"/>
                <w:szCs w:val="24"/>
              </w:rPr>
              <w:t>暂扣证照(个)</w:t>
            </w:r>
          </w:p>
        </w:tc>
        <w:tc>
          <w:tcPr>
            <w:tcW w:w="996" w:type="dxa"/>
            <w:tcBorders>
              <w:top w:val="single" w:sz="4" w:space="0" w:color="auto"/>
              <w:left w:val="single" w:sz="4" w:space="0" w:color="auto"/>
              <w:bottom w:val="single" w:sz="4" w:space="0" w:color="000000"/>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hint="eastAsia"/>
                <w:bCs/>
                <w:color w:val="000000"/>
                <w:kern w:val="0"/>
                <w:sz w:val="24"/>
                <w:szCs w:val="24"/>
              </w:rPr>
              <w:t>吊销</w:t>
            </w:r>
            <w:r>
              <w:rPr>
                <w:rFonts w:ascii="黑体" w:eastAsia="黑体" w:hAnsi="黑体"/>
                <w:bCs/>
                <w:color w:val="000000"/>
                <w:kern w:val="0"/>
                <w:sz w:val="24"/>
                <w:szCs w:val="24"/>
              </w:rPr>
              <w:t>证照(个)</w:t>
            </w:r>
          </w:p>
        </w:tc>
        <w:tc>
          <w:tcPr>
            <w:tcW w:w="910" w:type="dxa"/>
            <w:tcBorders>
              <w:top w:val="single" w:sz="4" w:space="0" w:color="auto"/>
              <w:left w:val="single" w:sz="4" w:space="0" w:color="auto"/>
              <w:bottom w:val="single" w:sz="4" w:space="0" w:color="000000"/>
              <w:right w:val="single" w:sz="4"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bCs/>
                <w:color w:val="000000"/>
                <w:kern w:val="0"/>
                <w:sz w:val="24"/>
                <w:szCs w:val="24"/>
              </w:rPr>
              <w:t>关闭企业(家)</w:t>
            </w:r>
          </w:p>
        </w:tc>
        <w:tc>
          <w:tcPr>
            <w:tcW w:w="898" w:type="dxa"/>
            <w:tcBorders>
              <w:top w:val="single" w:sz="4" w:space="0" w:color="auto"/>
              <w:left w:val="single" w:sz="4" w:space="0" w:color="auto"/>
              <w:bottom w:val="single" w:sz="4" w:space="0" w:color="auto"/>
              <w:right w:val="single" w:sz="8" w:space="0" w:color="auto"/>
            </w:tcBorders>
            <w:vAlign w:val="center"/>
          </w:tcPr>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hint="eastAsia"/>
                <w:bCs/>
                <w:color w:val="000000"/>
                <w:kern w:val="0"/>
                <w:sz w:val="24"/>
                <w:szCs w:val="24"/>
              </w:rPr>
              <w:t>联合惩戒失信企业</w:t>
            </w:r>
          </w:p>
          <w:p w:rsidR="00415660" w:rsidRDefault="00415660" w:rsidP="00D36F4D">
            <w:pPr>
              <w:widowControl/>
              <w:spacing w:line="320" w:lineRule="exact"/>
              <w:jc w:val="center"/>
              <w:rPr>
                <w:rFonts w:ascii="黑体" w:eastAsia="黑体" w:hAnsi="黑体"/>
                <w:bCs/>
                <w:color w:val="000000"/>
                <w:kern w:val="0"/>
                <w:sz w:val="24"/>
                <w:szCs w:val="24"/>
              </w:rPr>
            </w:pPr>
            <w:r>
              <w:rPr>
                <w:rFonts w:ascii="黑体" w:eastAsia="黑体" w:hAnsi="黑体" w:hint="eastAsia"/>
                <w:bCs/>
                <w:color w:val="000000"/>
                <w:kern w:val="0"/>
                <w:sz w:val="24"/>
                <w:szCs w:val="24"/>
              </w:rPr>
              <w:t>（起）</w:t>
            </w:r>
          </w:p>
        </w:tc>
      </w:tr>
      <w:tr w:rsidR="00415660" w:rsidTr="00D36F4D">
        <w:trPr>
          <w:trHeight w:val="404"/>
          <w:jc w:val="center"/>
        </w:trPr>
        <w:tc>
          <w:tcPr>
            <w:tcW w:w="2030" w:type="dxa"/>
            <w:tcBorders>
              <w:top w:val="nil"/>
              <w:left w:val="single" w:sz="8" w:space="0" w:color="auto"/>
              <w:bottom w:val="single" w:sz="4" w:space="0" w:color="auto"/>
              <w:right w:val="single" w:sz="4" w:space="0" w:color="auto"/>
            </w:tcBorders>
            <w:vAlign w:val="center"/>
          </w:tcPr>
          <w:p w:rsidR="00415660" w:rsidRDefault="00415660" w:rsidP="00D36F4D">
            <w:pPr>
              <w:widowControl/>
              <w:spacing w:line="620" w:lineRule="exact"/>
              <w:jc w:val="center"/>
              <w:rPr>
                <w:rFonts w:ascii="仿宋" w:hAnsi="仿宋"/>
                <w:color w:val="000000"/>
                <w:kern w:val="0"/>
                <w:sz w:val="24"/>
                <w:szCs w:val="24"/>
              </w:rPr>
            </w:pPr>
          </w:p>
        </w:tc>
        <w:tc>
          <w:tcPr>
            <w:tcW w:w="851"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854"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1137"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995"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95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995"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851"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106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80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1003"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996" w:type="dxa"/>
            <w:tcBorders>
              <w:top w:val="nil"/>
              <w:left w:val="nil"/>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910" w:type="dxa"/>
            <w:tcBorders>
              <w:top w:val="nil"/>
              <w:left w:val="single" w:sz="4" w:space="0" w:color="auto"/>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c>
          <w:tcPr>
            <w:tcW w:w="898" w:type="dxa"/>
            <w:tcBorders>
              <w:top w:val="nil"/>
              <w:left w:val="single" w:sz="4" w:space="0" w:color="auto"/>
              <w:bottom w:val="single" w:sz="4" w:space="0" w:color="auto"/>
              <w:right w:val="single" w:sz="8" w:space="0" w:color="auto"/>
            </w:tcBorders>
            <w:vAlign w:val="center"/>
          </w:tcPr>
          <w:p w:rsidR="00415660" w:rsidRDefault="00415660" w:rsidP="00D36F4D">
            <w:pPr>
              <w:widowControl/>
              <w:spacing w:line="620" w:lineRule="exact"/>
              <w:jc w:val="center"/>
              <w:rPr>
                <w:rFonts w:ascii="黑体" w:eastAsia="黑体" w:hAnsi="黑体"/>
                <w:color w:val="000000"/>
                <w:kern w:val="0"/>
                <w:sz w:val="24"/>
                <w:szCs w:val="24"/>
              </w:rPr>
            </w:pPr>
          </w:p>
        </w:tc>
      </w:tr>
      <w:tr w:rsidR="00415660" w:rsidTr="00D36F4D">
        <w:trPr>
          <w:trHeight w:val="404"/>
          <w:jc w:val="center"/>
        </w:trPr>
        <w:tc>
          <w:tcPr>
            <w:tcW w:w="2030" w:type="dxa"/>
            <w:tcBorders>
              <w:top w:val="single" w:sz="4" w:space="0" w:color="auto"/>
              <w:left w:val="single" w:sz="8" w:space="0" w:color="auto"/>
              <w:bottom w:val="single" w:sz="4" w:space="0" w:color="auto"/>
              <w:right w:val="single" w:sz="4" w:space="0" w:color="auto"/>
            </w:tcBorders>
            <w:vAlign w:val="center"/>
          </w:tcPr>
          <w:p w:rsidR="00415660" w:rsidRDefault="00415660" w:rsidP="00D36F4D">
            <w:pPr>
              <w:widowControl/>
              <w:spacing w:line="620" w:lineRule="exact"/>
              <w:jc w:val="center"/>
              <w:rPr>
                <w:rFonts w:ascii="仿宋" w:hAnsi="仿宋"/>
                <w:color w:val="000000"/>
                <w:kern w:val="0"/>
                <w:sz w:val="30"/>
                <w:szCs w:val="30"/>
              </w:rPr>
            </w:pPr>
          </w:p>
        </w:tc>
        <w:tc>
          <w:tcPr>
            <w:tcW w:w="851"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54"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137"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5"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5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5"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51"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0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003"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6" w:type="dxa"/>
            <w:tcBorders>
              <w:top w:val="single" w:sz="4" w:space="0" w:color="auto"/>
              <w:left w:val="nil"/>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10" w:type="dxa"/>
            <w:tcBorders>
              <w:top w:val="single" w:sz="4" w:space="0" w:color="auto"/>
              <w:left w:val="single" w:sz="4" w:space="0" w:color="auto"/>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98" w:type="dxa"/>
            <w:tcBorders>
              <w:top w:val="single" w:sz="4" w:space="0" w:color="auto"/>
              <w:left w:val="single" w:sz="4" w:space="0" w:color="auto"/>
              <w:bottom w:val="single" w:sz="4" w:space="0" w:color="auto"/>
              <w:right w:val="single" w:sz="8"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r>
      <w:tr w:rsidR="00415660" w:rsidTr="00D36F4D">
        <w:trPr>
          <w:trHeight w:val="404"/>
          <w:jc w:val="center"/>
        </w:trPr>
        <w:tc>
          <w:tcPr>
            <w:tcW w:w="2030" w:type="dxa"/>
            <w:tcBorders>
              <w:top w:val="nil"/>
              <w:left w:val="single" w:sz="8" w:space="0" w:color="auto"/>
              <w:bottom w:val="single" w:sz="4" w:space="0" w:color="auto"/>
              <w:right w:val="single" w:sz="4" w:space="0" w:color="auto"/>
            </w:tcBorders>
            <w:vAlign w:val="center"/>
          </w:tcPr>
          <w:p w:rsidR="00415660" w:rsidRDefault="00415660" w:rsidP="00D36F4D">
            <w:pPr>
              <w:widowControl/>
              <w:spacing w:line="620" w:lineRule="exact"/>
              <w:jc w:val="center"/>
              <w:rPr>
                <w:rFonts w:ascii="仿宋" w:hAnsi="仿宋"/>
                <w:color w:val="000000"/>
                <w:kern w:val="0"/>
                <w:sz w:val="30"/>
                <w:szCs w:val="30"/>
              </w:rPr>
            </w:pPr>
          </w:p>
        </w:tc>
        <w:tc>
          <w:tcPr>
            <w:tcW w:w="851"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54"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137"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5"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58"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5"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51"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068"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08"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003"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6" w:type="dxa"/>
            <w:tcBorders>
              <w:top w:val="nil"/>
              <w:left w:val="nil"/>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10" w:type="dxa"/>
            <w:tcBorders>
              <w:top w:val="nil"/>
              <w:left w:val="single" w:sz="4" w:space="0" w:color="auto"/>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98" w:type="dxa"/>
            <w:tcBorders>
              <w:top w:val="nil"/>
              <w:left w:val="single" w:sz="4" w:space="0" w:color="auto"/>
              <w:bottom w:val="single" w:sz="4" w:space="0" w:color="auto"/>
              <w:right w:val="single" w:sz="8"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r>
      <w:tr w:rsidR="00415660" w:rsidTr="00D36F4D">
        <w:trPr>
          <w:trHeight w:val="404"/>
          <w:jc w:val="center"/>
        </w:trPr>
        <w:tc>
          <w:tcPr>
            <w:tcW w:w="2030" w:type="dxa"/>
            <w:tcBorders>
              <w:top w:val="nil"/>
              <w:left w:val="single" w:sz="8" w:space="0" w:color="auto"/>
              <w:bottom w:val="single" w:sz="4" w:space="0" w:color="auto"/>
              <w:right w:val="single" w:sz="4" w:space="0" w:color="auto"/>
            </w:tcBorders>
            <w:vAlign w:val="center"/>
          </w:tcPr>
          <w:p w:rsidR="00415660" w:rsidRDefault="00415660" w:rsidP="00D36F4D">
            <w:pPr>
              <w:widowControl/>
              <w:spacing w:line="620" w:lineRule="exact"/>
              <w:jc w:val="center"/>
              <w:rPr>
                <w:rFonts w:ascii="仿宋" w:hAnsi="仿宋"/>
                <w:color w:val="000000"/>
                <w:kern w:val="0"/>
                <w:sz w:val="30"/>
                <w:szCs w:val="30"/>
              </w:rPr>
            </w:pPr>
            <w:r>
              <w:rPr>
                <w:rFonts w:ascii="仿宋" w:hAnsi="仿宋" w:hint="eastAsia"/>
                <w:color w:val="000000"/>
                <w:kern w:val="0"/>
                <w:sz w:val="30"/>
                <w:szCs w:val="30"/>
              </w:rPr>
              <w:t>...</w:t>
            </w:r>
          </w:p>
        </w:tc>
        <w:tc>
          <w:tcPr>
            <w:tcW w:w="851"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54"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137"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5"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58"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5"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51"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068"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08"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003" w:type="dxa"/>
            <w:tcBorders>
              <w:top w:val="nil"/>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6" w:type="dxa"/>
            <w:tcBorders>
              <w:top w:val="nil"/>
              <w:left w:val="nil"/>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10" w:type="dxa"/>
            <w:tcBorders>
              <w:top w:val="nil"/>
              <w:left w:val="single" w:sz="4" w:space="0" w:color="auto"/>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98" w:type="dxa"/>
            <w:tcBorders>
              <w:top w:val="nil"/>
              <w:left w:val="single" w:sz="4" w:space="0" w:color="auto"/>
              <w:bottom w:val="single" w:sz="4" w:space="0" w:color="auto"/>
              <w:right w:val="single" w:sz="8"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r>
      <w:tr w:rsidR="00415660" w:rsidTr="00D36F4D">
        <w:trPr>
          <w:trHeight w:val="447"/>
          <w:jc w:val="center"/>
        </w:trPr>
        <w:tc>
          <w:tcPr>
            <w:tcW w:w="2030" w:type="dxa"/>
            <w:tcBorders>
              <w:top w:val="single" w:sz="4" w:space="0" w:color="auto"/>
              <w:left w:val="single" w:sz="8" w:space="0" w:color="auto"/>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bCs/>
                <w:color w:val="000000"/>
                <w:kern w:val="0"/>
                <w:sz w:val="28"/>
                <w:szCs w:val="28"/>
              </w:rPr>
            </w:pPr>
            <w:r>
              <w:rPr>
                <w:rFonts w:ascii="黑体" w:eastAsia="黑体" w:hAnsi="黑体"/>
                <w:bCs/>
                <w:color w:val="000000"/>
                <w:kern w:val="0"/>
                <w:sz w:val="24"/>
                <w:szCs w:val="24"/>
              </w:rPr>
              <w:t>合   计</w:t>
            </w:r>
          </w:p>
        </w:tc>
        <w:tc>
          <w:tcPr>
            <w:tcW w:w="851"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54"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137"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5"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5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5"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51"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08"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1003" w:type="dxa"/>
            <w:tcBorders>
              <w:top w:val="single" w:sz="4" w:space="0" w:color="auto"/>
              <w:left w:val="nil"/>
              <w:bottom w:val="single" w:sz="4" w:space="0" w:color="auto"/>
              <w:right w:val="single" w:sz="4"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96" w:type="dxa"/>
            <w:tcBorders>
              <w:top w:val="single" w:sz="4" w:space="0" w:color="auto"/>
              <w:left w:val="nil"/>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910" w:type="dxa"/>
            <w:tcBorders>
              <w:top w:val="single" w:sz="4" w:space="0" w:color="auto"/>
              <w:left w:val="single" w:sz="4" w:space="0" w:color="auto"/>
              <w:bottom w:val="single" w:sz="4" w:space="0" w:color="auto"/>
              <w:right w:val="nil"/>
            </w:tcBorders>
            <w:vAlign w:val="center"/>
          </w:tcPr>
          <w:p w:rsidR="00415660" w:rsidRDefault="00415660" w:rsidP="00D36F4D">
            <w:pPr>
              <w:widowControl/>
              <w:spacing w:line="620" w:lineRule="exact"/>
              <w:jc w:val="center"/>
              <w:rPr>
                <w:rFonts w:ascii="黑体" w:eastAsia="黑体" w:hAnsi="黑体"/>
                <w:color w:val="000000"/>
                <w:kern w:val="0"/>
                <w:szCs w:val="21"/>
              </w:rPr>
            </w:pPr>
          </w:p>
        </w:tc>
        <w:tc>
          <w:tcPr>
            <w:tcW w:w="898" w:type="dxa"/>
            <w:tcBorders>
              <w:top w:val="single" w:sz="4" w:space="0" w:color="auto"/>
              <w:left w:val="single" w:sz="4" w:space="0" w:color="auto"/>
              <w:bottom w:val="single" w:sz="4" w:space="0" w:color="auto"/>
              <w:right w:val="single" w:sz="8" w:space="0" w:color="auto"/>
            </w:tcBorders>
            <w:vAlign w:val="center"/>
          </w:tcPr>
          <w:p w:rsidR="00415660" w:rsidRDefault="00415660" w:rsidP="00D36F4D">
            <w:pPr>
              <w:widowControl/>
              <w:spacing w:line="620" w:lineRule="exact"/>
              <w:jc w:val="center"/>
              <w:rPr>
                <w:rFonts w:ascii="黑体" w:eastAsia="黑体" w:hAnsi="黑体"/>
                <w:color w:val="000000"/>
                <w:kern w:val="0"/>
                <w:szCs w:val="21"/>
              </w:rPr>
            </w:pPr>
          </w:p>
        </w:tc>
      </w:tr>
    </w:tbl>
    <w:p w:rsidR="00415660" w:rsidRDefault="00415660" w:rsidP="00415660">
      <w:pPr>
        <w:spacing w:line="400" w:lineRule="exact"/>
        <w:rPr>
          <w:rFonts w:ascii="宋体" w:eastAsia="宋体" w:hAnsi="宋体" w:cs="宋体"/>
          <w:color w:val="000000"/>
          <w:sz w:val="24"/>
          <w:szCs w:val="24"/>
        </w:rPr>
      </w:pPr>
      <w:r>
        <w:rPr>
          <w:rFonts w:ascii="宋体" w:eastAsia="宋体" w:hAnsi="宋体" w:cs="宋体" w:hint="eastAsia"/>
          <w:color w:val="000000"/>
          <w:sz w:val="24"/>
          <w:szCs w:val="24"/>
        </w:rPr>
        <w:t>备注：1.本表由有行政处罚职能的省级相关部门、各市安委办汇总后分别于7月31日、8月15日、9月23日、10月31日前与情况小结（总结）一同报省安委办；</w:t>
      </w:r>
    </w:p>
    <w:p w:rsidR="00415660" w:rsidRDefault="00415660" w:rsidP="00415660">
      <w:pPr>
        <w:pStyle w:val="a7"/>
        <w:spacing w:line="400" w:lineRule="exact"/>
        <w:ind w:firstLineChars="300" w:firstLine="720"/>
        <w:rPr>
          <w:rFonts w:hAnsi="宋体" w:cs="宋体" w:hint="eastAsia"/>
          <w:color w:val="000000"/>
          <w:sz w:val="24"/>
          <w:szCs w:val="24"/>
        </w:rPr>
        <w:sectPr w:rsidR="00415660">
          <w:pgSz w:w="16838" w:h="11906" w:orient="landscape"/>
          <w:pgMar w:top="1800" w:right="1440" w:bottom="1800" w:left="1440" w:header="851" w:footer="992" w:gutter="0"/>
          <w:pgNumType w:fmt="numberInDash"/>
          <w:cols w:space="720"/>
          <w:docGrid w:type="lines" w:linePitch="312"/>
        </w:sectPr>
      </w:pPr>
      <w:r>
        <w:rPr>
          <w:rFonts w:hAnsi="宋体" w:cs="宋体" w:hint="eastAsia"/>
          <w:color w:val="000000"/>
          <w:sz w:val="24"/>
          <w:szCs w:val="24"/>
        </w:rPr>
        <w:t>2.报送数据为百日执法专项行动期间累计数据，请将PDF与WORD版发895897769@qq.com。</w:t>
      </w:r>
    </w:p>
    <w:p w:rsidR="00F44E05" w:rsidRPr="00415660" w:rsidRDefault="00F44E05">
      <w:bookmarkStart w:id="0" w:name="_GoBack"/>
      <w:bookmarkEnd w:id="0"/>
    </w:p>
    <w:sectPr w:rsidR="00F44E05" w:rsidRPr="004156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33D" w:rsidRDefault="00BE433D" w:rsidP="00415660">
      <w:r>
        <w:separator/>
      </w:r>
    </w:p>
  </w:endnote>
  <w:endnote w:type="continuationSeparator" w:id="0">
    <w:p w:rsidR="00BE433D" w:rsidRDefault="00BE433D" w:rsidP="0041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60" w:rsidRDefault="00415660">
    <w:pPr>
      <w:pStyle w:val="a5"/>
    </w:pPr>
    <w:r>
      <w:rPr>
        <w:rFonts w:ascii="Calibri" w:eastAsia="仿宋" w:hAnsi="Calibri" w:cs="Times New Roman"/>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660" w:rsidRDefault="00415660">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t>- 15 -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" filled="f" stroked="f">
              <v:textbox style="mso-fit-shape-to-text:t" inset="0,0,0,0">
                <w:txbxContent>
                  <w:p w:rsidR="00415660" w:rsidRDefault="00415660">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t>- 15 -</w:t>
                    </w:r>
                    <w:r>
                      <w:rPr>
                        <w:rFonts w:ascii="宋体" w:eastAsia="宋体" w:hAnsi="宋体" w:cs="宋体" w:hint="eastAsia"/>
                        <w:sz w:val="28"/>
                        <w:szCs w:val="28"/>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33D" w:rsidRDefault="00BE433D" w:rsidP="00415660">
      <w:r>
        <w:separator/>
      </w:r>
    </w:p>
  </w:footnote>
  <w:footnote w:type="continuationSeparator" w:id="0">
    <w:p w:rsidR="00BE433D" w:rsidRDefault="00BE433D" w:rsidP="00415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55"/>
    <w:rsid w:val="002E7A1D"/>
    <w:rsid w:val="00320955"/>
    <w:rsid w:val="00396F1F"/>
    <w:rsid w:val="00415660"/>
    <w:rsid w:val="004166D1"/>
    <w:rsid w:val="0066072A"/>
    <w:rsid w:val="00683160"/>
    <w:rsid w:val="00722370"/>
    <w:rsid w:val="009B6F7C"/>
    <w:rsid w:val="00BE433D"/>
    <w:rsid w:val="00C14B58"/>
    <w:rsid w:val="00C6524D"/>
    <w:rsid w:val="00E75843"/>
    <w:rsid w:val="00F44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89A433-03A9-4E3D-B881-A4D18A87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15660"/>
    <w:pPr>
      <w:widowControl w:val="0"/>
      <w:jc w:val="both"/>
    </w:pPr>
    <w:rPr>
      <w:rFonts w:ascii="Calibri" w:eastAsia="仿宋" w:hAnsi="Calibri" w:cs="Times New Roman"/>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156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15660"/>
    <w:rPr>
      <w:sz w:val="18"/>
      <w:szCs w:val="18"/>
    </w:rPr>
  </w:style>
  <w:style w:type="paragraph" w:styleId="a5">
    <w:name w:val="footer"/>
    <w:basedOn w:val="a"/>
    <w:link w:val="Char0"/>
    <w:uiPriority w:val="99"/>
    <w:unhideWhenUsed/>
    <w:qFormat/>
    <w:rsid w:val="004156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15660"/>
    <w:rPr>
      <w:sz w:val="18"/>
      <w:szCs w:val="18"/>
    </w:rPr>
  </w:style>
  <w:style w:type="paragraph" w:styleId="a6">
    <w:name w:val="Body Text Indent"/>
    <w:basedOn w:val="a"/>
    <w:link w:val="Char1"/>
    <w:uiPriority w:val="99"/>
    <w:semiHidden/>
    <w:unhideWhenUsed/>
    <w:rsid w:val="00415660"/>
    <w:pPr>
      <w:spacing w:after="120"/>
      <w:ind w:leftChars="200" w:left="420"/>
    </w:pPr>
  </w:style>
  <w:style w:type="character" w:customStyle="1" w:styleId="Char1">
    <w:name w:val="正文文本缩进 Char"/>
    <w:basedOn w:val="a1"/>
    <w:link w:val="a6"/>
    <w:uiPriority w:val="99"/>
    <w:semiHidden/>
    <w:rsid w:val="00415660"/>
    <w:rPr>
      <w:rFonts w:ascii="Calibri" w:eastAsia="仿宋" w:hAnsi="Calibri" w:cs="Times New Roman"/>
      <w:sz w:val="32"/>
    </w:rPr>
  </w:style>
  <w:style w:type="paragraph" w:styleId="2">
    <w:name w:val="Body Text First Indent 2"/>
    <w:basedOn w:val="a6"/>
    <w:link w:val="2Char"/>
    <w:uiPriority w:val="99"/>
    <w:qFormat/>
    <w:rsid w:val="00415660"/>
    <w:pPr>
      <w:ind w:firstLineChars="200" w:firstLine="420"/>
    </w:pPr>
  </w:style>
  <w:style w:type="character" w:customStyle="1" w:styleId="2Char">
    <w:name w:val="正文首行缩进 2 Char"/>
    <w:basedOn w:val="Char1"/>
    <w:link w:val="2"/>
    <w:uiPriority w:val="99"/>
    <w:rsid w:val="00415660"/>
    <w:rPr>
      <w:rFonts w:ascii="Calibri" w:eastAsia="仿宋" w:hAnsi="Calibri" w:cs="Times New Roman"/>
      <w:sz w:val="32"/>
    </w:rPr>
  </w:style>
  <w:style w:type="paragraph" w:customStyle="1" w:styleId="a7">
    <w:name w:val="段"/>
    <w:next w:val="a"/>
    <w:qFormat/>
    <w:rsid w:val="00415660"/>
    <w:pPr>
      <w:autoSpaceDE w:val="0"/>
      <w:autoSpaceDN w:val="0"/>
      <w:ind w:firstLine="200"/>
      <w:jc w:val="both"/>
    </w:pPr>
    <w:rPr>
      <w:rFonts w:ascii="宋体" w:eastAsia="宋体" w:hAnsi="Calibri" w:cs="Times New Roman"/>
      <w:kern w:val="0"/>
    </w:rPr>
  </w:style>
  <w:style w:type="paragraph" w:customStyle="1" w:styleId="Char2">
    <w:name w:val="Char"/>
    <w:basedOn w:val="a8"/>
    <w:next w:val="a"/>
    <w:uiPriority w:val="99"/>
    <w:qFormat/>
    <w:rsid w:val="00415660"/>
    <w:rPr>
      <w:rFonts w:ascii="Times New Roman" w:eastAsia="宋体" w:hAnsi="Times New Roman"/>
      <w:szCs w:val="24"/>
    </w:rPr>
  </w:style>
  <w:style w:type="paragraph" w:styleId="a0">
    <w:name w:val="Body Text"/>
    <w:basedOn w:val="a"/>
    <w:link w:val="Char3"/>
    <w:uiPriority w:val="99"/>
    <w:semiHidden/>
    <w:unhideWhenUsed/>
    <w:rsid w:val="00415660"/>
    <w:pPr>
      <w:spacing w:after="120"/>
    </w:pPr>
  </w:style>
  <w:style w:type="character" w:customStyle="1" w:styleId="Char3">
    <w:name w:val="正文文本 Char"/>
    <w:basedOn w:val="a1"/>
    <w:link w:val="a0"/>
    <w:uiPriority w:val="99"/>
    <w:semiHidden/>
    <w:rsid w:val="00415660"/>
    <w:rPr>
      <w:rFonts w:ascii="Calibri" w:eastAsia="仿宋" w:hAnsi="Calibri" w:cs="Times New Roman"/>
      <w:sz w:val="32"/>
    </w:rPr>
  </w:style>
  <w:style w:type="paragraph" w:styleId="a8">
    <w:name w:val="Document Map"/>
    <w:basedOn w:val="a"/>
    <w:link w:val="Char4"/>
    <w:uiPriority w:val="99"/>
    <w:semiHidden/>
    <w:unhideWhenUsed/>
    <w:rsid w:val="00415660"/>
    <w:rPr>
      <w:rFonts w:ascii="Microsoft YaHei UI" w:eastAsia="Microsoft YaHei UI"/>
      <w:sz w:val="18"/>
      <w:szCs w:val="18"/>
    </w:rPr>
  </w:style>
  <w:style w:type="character" w:customStyle="1" w:styleId="Char4">
    <w:name w:val="文档结构图 Char"/>
    <w:basedOn w:val="a1"/>
    <w:link w:val="a8"/>
    <w:uiPriority w:val="99"/>
    <w:semiHidden/>
    <w:rsid w:val="00415660"/>
    <w:rPr>
      <w:rFonts w:ascii="Microsoft YaHei UI" w:eastAsia="Microsoft YaHei U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845</Words>
  <Characters>4819</Characters>
  <Application>Microsoft Office Word</Application>
  <DocSecurity>0</DocSecurity>
  <Lines>40</Lines>
  <Paragraphs>11</Paragraphs>
  <ScaleCrop>false</ScaleCrop>
  <Company>MS</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2022-07-18T01:15:00Z</dcterms:created>
  <dcterms:modified xsi:type="dcterms:W3CDTF">2022-07-18T01:16:00Z</dcterms:modified>
</cp:coreProperties>
</file>