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5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665"/>
        <w:gridCol w:w="561"/>
        <w:gridCol w:w="1"/>
        <w:gridCol w:w="1539"/>
        <w:gridCol w:w="1081"/>
        <w:gridCol w:w="907"/>
        <w:gridCol w:w="926"/>
        <w:gridCol w:w="2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868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jc w:val="center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44"/>
                <w:szCs w:val="44"/>
                <w:lang w:val="en-US" w:eastAsia="zh-CN"/>
              </w:rPr>
              <w:t>办公设备及家具购置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绩效目标自评表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86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办公设备及家具购置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陕西省应急管理厅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使用期限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5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预算执行率（B／A）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6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117.54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63.19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6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6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地方资金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117.54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63.19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6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情况</w:t>
            </w:r>
          </w:p>
        </w:tc>
        <w:tc>
          <w:tcPr>
            <w:tcW w:w="38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满足机关工作需要，提高工作效率，保障机关正常开展工作。</w:t>
            </w:r>
          </w:p>
        </w:tc>
        <w:tc>
          <w:tcPr>
            <w:tcW w:w="4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大部分能按计划采购，由于国产化替代配发了电脑，部分电脑采购未完成。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全年实际完成值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未完成原因和改进措施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  指标</w:t>
            </w: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购置办公设备数量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25台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11台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由于国产化替代，相关部门统一配发国产电脑，不再进行政府采购，导致预算未执行。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采购验收合格率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采购物品到位时间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9月底前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由于实际接收军转干部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11月份，所需办公家具及办公用品12月份完成采购。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采购物品及时到位率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项目预算数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117.54万元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63.19万元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由于国产化替代，相关部门统一配发国产电脑，不再进行政府采购，导致预算未执行。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办公基本条件保证率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使用者满意度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96%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  <w:tc>
          <w:tcPr>
            <w:tcW w:w="82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  <w:jc w:val="center"/>
        </w:trPr>
        <w:tc>
          <w:tcPr>
            <w:tcW w:w="868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注：1.资金使用单位按项目绩效目标填报，主管部门汇总时按区域绩效目标填报。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2.其他资金包括与中央财政资金、地方财政资金共同投入到同一项目的自有资金、社会资金，以及以前年度的结转结余资金等。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3.全年执行数是指按照国库集中支付制度要求，支付到商品和劳务供应者或用款单位形成的实际支出。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4.定量指标。地方各级主管部门对资金使用单位填写的实际完成值汇总时，绝对值直接累加计算，相对值按照资金额度加权平均计算。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5.定性指标，资金使用单位分别按照80％（含）-100％、60％（含）-80％、0％-60％合理填写实际完成值。地方各级主管部门汇总时，按照资金额度加权平均计算。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7387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next w:val="1"/>
    <w:qFormat/>
    <w:uiPriority w:val="99"/>
    <w:rPr>
      <w:rFonts w:ascii="Times New Roman" w:hAnsi="Times New Roman" w:eastAsia="宋体" w:cs="Times New Roman"/>
      <w:sz w:val="32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2022-07-20T08:46:39Z</dcterms:created>
  <dc:creator>Administrator</dc:creator>
  <cp:lastModifiedBy>安之若素i</cp:lastModifiedBy>
  <dcterms:modified xsi:type="dcterms:W3CDTF">2022-07-20T08:46:50Z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104CE13E4B2142FFB614C0CBE46D3A33</vt:lpwstr>
  </property>
</Properties>
</file>