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  <w:t>6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8"/>
        <w:gridCol w:w="431"/>
        <w:gridCol w:w="697"/>
        <w:gridCol w:w="1"/>
        <w:gridCol w:w="1566"/>
        <w:gridCol w:w="1477"/>
        <w:gridCol w:w="846"/>
        <w:gridCol w:w="995"/>
        <w:gridCol w:w="1"/>
        <w:gridCol w:w="22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876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jc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全省煤矿瓦斯督导监管绩效目标自评表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87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（2021年度）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16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1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全省煤矿瓦斯督导组监管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6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陕西省应急管理厅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使用期限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64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 w:bidi="ar"/>
              </w:rPr>
              <w:t>资金情况</w:t>
            </w:r>
            <w:r>
              <w:rPr>
                <w:rStyle w:val="7"/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 w:bidi="ar"/>
              </w:rPr>
              <w:t>（万元）</w:t>
            </w:r>
          </w:p>
        </w:tc>
        <w:tc>
          <w:tcPr>
            <w:tcW w:w="1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全年执行数（B）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预算执行率（B／A）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164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219.97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64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其中：中央财政资金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164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40" w:firstLineChars="3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地方资金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219.97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164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40" w:firstLineChars="3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总体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情况</w:t>
            </w:r>
          </w:p>
        </w:tc>
        <w:tc>
          <w:tcPr>
            <w:tcW w:w="41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4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减少煤矿瓦斯超限次数，减少煤矿瓦斯事故，确保所督导煤矿全年不发生重特大瓦斯事故。</w:t>
            </w:r>
          </w:p>
        </w:tc>
        <w:tc>
          <w:tcPr>
            <w:tcW w:w="4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 w:bidi="ar"/>
              </w:rPr>
              <w:t>2021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年全省煤矿未发生重特大瓦斯事故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3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全年实际完成值</w:t>
            </w: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未完成原因和改进措施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4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32</w:t>
            </w:r>
          </w:p>
        </w:tc>
        <w:tc>
          <w:tcPr>
            <w:tcW w:w="4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</w:tc>
        <w:tc>
          <w:tcPr>
            <w:tcW w:w="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3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全年驻矿督导次数</w:t>
            </w: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≥150次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806</w:t>
            </w: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3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重大隐患整改率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重大事故隐患复查率</w:t>
            </w: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≥99%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督导煤矿投诉率</w:t>
            </w: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≤20%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无投诉</w:t>
            </w: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3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项目预算数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200万元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219.97万元</w:t>
            </w: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基本完成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事故起数和死亡人数</w:t>
            </w: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低于全国平均水平</w:t>
            </w:r>
          </w:p>
        </w:tc>
        <w:tc>
          <w:tcPr>
            <w:tcW w:w="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低于全国平均水平</w:t>
            </w: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3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被调查研究煤矿满意度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说明</w:t>
            </w:r>
          </w:p>
        </w:tc>
        <w:tc>
          <w:tcPr>
            <w:tcW w:w="82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6" w:hRule="atLeast"/>
          <w:jc w:val="center"/>
        </w:trPr>
        <w:tc>
          <w:tcPr>
            <w:tcW w:w="876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注：1.资金使用单位按项目绩效目标填报，主管部门汇总时按区域绩效目标填报。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2.其他资金包括与中央财政资金、地方财政资金共同投入到同一项目的自有资金、社会资金，以及以前年度的结转结余资金等。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3.全年执行数是指按照国库集中支付制度要求，支付到商品和劳务供应者或用款单位形成的实际支出。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4.定量指标。地方各级主管部门对资金使用单位填写的实际完成值汇总时，绝对值直接累加计算，相对值按照资金额度加权平均计算。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5.定性指标，资金使用单位分别按照100％-80％（含）、80％-60％（含）、60％-0％合理填写实际完成值。地方各级主管部门汇总时，按照资金额度加权平均计算。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00000000"/>
    <w:rsid w:val="4F19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next w:val="1"/>
    <w:qFormat/>
    <w:uiPriority w:val="99"/>
    <w:rPr>
      <w:rFonts w:ascii="Times New Roman" w:hAnsi="Times New Roman" w:eastAsia="宋体" w:cs="Times New Roman"/>
      <w:sz w:val="32"/>
      <w:szCs w:val="2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5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71"/>
    <w:basedOn w:val="5"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2022-07-20T08:46:56Z</dcterms:created>
  <dc:creator>Administrator</dc:creator>
  <cp:lastModifiedBy>安之若素i</cp:lastModifiedBy>
  <dcterms:modified xsi:type="dcterms:W3CDTF">2022-07-20T08:47:03Z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10E797BC23804E30AA0203FDC10405EC</vt:lpwstr>
  </property>
</Properties>
</file>