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7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556"/>
        <w:gridCol w:w="885"/>
        <w:gridCol w:w="1560"/>
        <w:gridCol w:w="1170"/>
        <w:gridCol w:w="750"/>
        <w:gridCol w:w="100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71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jc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应急管理工作绩效目标自评表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7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履职专项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7990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5629.18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7990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5629.18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做好应急管理工作，应急能力不断提升；有效预防重特大安全生产事故，减少人员伤亡和造成的经济损失。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240" w:lineRule="exact"/>
              <w:ind w:left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全年生产安全事故起数、死亡人数分别下降25.92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%、16.15%，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sz w:val="18"/>
                <w:szCs w:val="18"/>
                <w:lang w:val="en-US" w:eastAsia="zh-CN"/>
              </w:rPr>
              <w:t>全省安全形势总体稳定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；防汛抢险经受严峻考验，森林草原防灭火取得历史最好成绩；应急处置及时高效，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指挥救援能力稳步提升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全年聘请专家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670人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全年开展安全生产大检查次数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安全生产隐患整改治理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确保受灾群众及时得到救助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在规定时限内隐患治理完成率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98%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当年完成相关工作目标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加强应急抢险力量建设，大力提高防汛抗旱时效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7990万元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5629.18万元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因疫情影响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部分应急管理专项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未完成，按照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合同约定的资金支付尚未完成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。下一步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加快项目组织实施和加大资金支付力度。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 指标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 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减少人员伤亡及财产损失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稳定好转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稳定好转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相关行业重特大事故得到有效遏制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大幅减少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大幅减少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被检查企业满意度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71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8A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next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2022-07-20T08:47:09Z</dcterms:created>
  <dc:creator>Administrator</dc:creator>
  <cp:lastModifiedBy>安之若素i</cp:lastModifiedBy>
  <dcterms:modified xsi:type="dcterms:W3CDTF">2022-07-20T08:47:20Z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3F09BF6E76544CDDAEA07B5BF3CD68B8</vt:lpwstr>
  </property>
</Properties>
</file>