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
        <w:gridCol w:w="182"/>
        <w:gridCol w:w="116"/>
        <w:gridCol w:w="510"/>
        <w:gridCol w:w="435"/>
        <w:gridCol w:w="229"/>
        <w:gridCol w:w="107"/>
        <w:gridCol w:w="133"/>
        <w:gridCol w:w="2400"/>
        <w:gridCol w:w="1125"/>
        <w:gridCol w:w="2231"/>
        <w:gridCol w:w="139"/>
        <w:gridCol w:w="536"/>
        <w:gridCol w:w="435"/>
        <w:gridCol w:w="135"/>
        <w:gridCol w:w="94"/>
        <w:gridCol w:w="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2"/>
          <w:wBefore w:w="152" w:type="dxa"/>
          <w:wAfter w:w="405" w:type="dxa"/>
          <w:trHeight w:val="462" w:hRule="atLeast"/>
        </w:trPr>
        <w:tc>
          <w:tcPr>
            <w:tcW w:w="8713" w:type="dxa"/>
            <w:gridSpan w:val="14"/>
            <w:tcBorders>
              <w:top w:val="nil"/>
              <w:left w:val="nil"/>
              <w:bottom w:val="nil"/>
              <w:right w:val="nil"/>
            </w:tcBorders>
            <w:noWrap w:val="0"/>
            <w:tcMar>
              <w:top w:w="12" w:type="dxa"/>
              <w:left w:w="12" w:type="dxa"/>
              <w:right w:w="12" w:type="dxa"/>
            </w:tcMar>
            <w:vAlign w:val="center"/>
          </w:tcPr>
          <w:p>
            <w:pPr>
              <w:pStyle w:val="4"/>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宋体" w:hAnsi="宋体" w:eastAsia="宋体" w:cs="宋体"/>
                <w:i w:val="0"/>
                <w:color w:val="000000"/>
                <w:kern w:val="0"/>
                <w:sz w:val="18"/>
                <w:szCs w:val="18"/>
                <w:u w:val="none"/>
                <w:lang w:val="en-US" w:eastAsia="zh-CN" w:bidi="ar"/>
              </w:rPr>
            </w:pPr>
            <w:r>
              <w:rPr>
                <w:rFonts w:hint="eastAsia" w:ascii="黑体" w:hAnsi="黑体" w:eastAsia="黑体" w:cs="黑体"/>
                <w:color w:val="000000"/>
                <w:spacing w:val="0"/>
                <w:sz w:val="32"/>
                <w:szCs w:val="32"/>
                <w:lang w:eastAsia="zh-CN"/>
              </w:rPr>
              <w:t>附件</w:t>
            </w:r>
            <w:r>
              <w:rPr>
                <w:rFonts w:hint="eastAsia" w:ascii="黑体" w:hAnsi="黑体" w:eastAsia="黑体" w:cs="黑体"/>
                <w:color w:val="000000"/>
                <w:spacing w:val="0"/>
                <w:sz w:val="32"/>
                <w:szCs w:val="32"/>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2" w:hRule="atLeast"/>
        </w:trPr>
        <w:tc>
          <w:tcPr>
            <w:tcW w:w="9270" w:type="dxa"/>
            <w:gridSpan w:val="1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部门整体支出绩效自评表</w:t>
            </w:r>
            <w:r>
              <w:rPr>
                <w:rFonts w:hint="eastAsia" w:ascii="黑体" w:hAnsi="宋体" w:eastAsia="黑体" w:cs="黑体"/>
                <w:i w:val="0"/>
                <w:color w:val="000000"/>
                <w:kern w:val="0"/>
                <w:sz w:val="40"/>
                <w:szCs w:val="40"/>
                <w:u w:val="none"/>
                <w:lang w:val="en-US" w:eastAsia="zh-CN" w:bidi="ar"/>
              </w:rPr>
              <w:br w:type="textWrapping"/>
            </w:r>
            <w:r>
              <w:rPr>
                <w:rFonts w:hint="eastAsia" w:ascii="楷体" w:hAnsi="楷体" w:eastAsia="楷体" w:cs="楷体"/>
                <w:i w:val="0"/>
                <w:color w:val="000000"/>
                <w:kern w:val="0"/>
                <w:sz w:val="20"/>
                <w:szCs w:val="20"/>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7620" w:type="dxa"/>
            <w:gridSpan w:val="11"/>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填报单位（盖章）陕西省应急管理厅</w:t>
            </w:r>
          </w:p>
        </w:tc>
        <w:tc>
          <w:tcPr>
            <w:tcW w:w="1650" w:type="dxa"/>
            <w:gridSpan w:val="6"/>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自评得分：91分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atLeast"/>
        </w:trPr>
        <w:tc>
          <w:tcPr>
            <w:tcW w:w="4264"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（一）简要概述部门职能与职责。</w:t>
            </w:r>
          </w:p>
        </w:tc>
        <w:tc>
          <w:tcPr>
            <w:tcW w:w="5006"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贯彻国家应急管理、安全生产、防灾减灾方面的法律法规和政策规定，组织编制全省应急体系建设、安全生产和综合防灾减灾规划并监督实施；2.负责全省应急管理工作；3.负责安全生产综合监督管理和工矿商贸行业、煤矿、危险化学品、烟花爆竹安全生产监督管理工作；4.负责全省应急预案体系建设；5.牵头建立全省统一的应急管理信息系统；6.组织指导协调全省安全生产类、自然灾害类等突发事件应急救援等18项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7" w:hRule="atLeast"/>
        </w:trPr>
        <w:tc>
          <w:tcPr>
            <w:tcW w:w="4264"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（二）简要概述部门支出情况，按活动内容分类。</w:t>
            </w:r>
          </w:p>
        </w:tc>
        <w:tc>
          <w:tcPr>
            <w:tcW w:w="5006"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rPr>
              <w:t>20</w:t>
            </w:r>
            <w:r>
              <w:rPr>
                <w:rFonts w:hint="eastAsia" w:ascii="仿宋" w:hAnsi="仿宋" w:eastAsia="仿宋" w:cs="仿宋"/>
                <w:color w:val="000000"/>
                <w:sz w:val="18"/>
                <w:szCs w:val="18"/>
                <w:lang w:val="en-US" w:eastAsia="zh-CN"/>
              </w:rPr>
              <w:t>21</w:t>
            </w:r>
            <w:r>
              <w:rPr>
                <w:rFonts w:hint="eastAsia" w:ascii="仿宋" w:hAnsi="仿宋" w:eastAsia="仿宋" w:cs="仿宋"/>
                <w:color w:val="000000"/>
                <w:sz w:val="18"/>
                <w:szCs w:val="18"/>
              </w:rPr>
              <w:t>年</w:t>
            </w:r>
            <w:r>
              <w:rPr>
                <w:rFonts w:hint="eastAsia" w:ascii="仿宋" w:hAnsi="仿宋" w:eastAsia="仿宋" w:cs="仿宋"/>
                <w:color w:val="000000"/>
                <w:sz w:val="18"/>
                <w:szCs w:val="18"/>
                <w:lang w:eastAsia="zh-CN"/>
              </w:rPr>
              <w:t>，部门实际</w:t>
            </w:r>
            <w:r>
              <w:rPr>
                <w:rFonts w:hint="eastAsia" w:ascii="仿宋" w:hAnsi="仿宋" w:eastAsia="仿宋" w:cs="仿宋"/>
                <w:color w:val="000000"/>
                <w:sz w:val="18"/>
                <w:szCs w:val="18"/>
              </w:rPr>
              <w:t>支出</w:t>
            </w:r>
            <w:r>
              <w:rPr>
                <w:rFonts w:hint="eastAsia" w:ascii="仿宋" w:hAnsi="仿宋" w:eastAsia="仿宋" w:cs="仿宋"/>
                <w:color w:val="000000"/>
                <w:sz w:val="18"/>
                <w:szCs w:val="18"/>
                <w:lang w:val="en-US" w:eastAsia="zh-CN"/>
              </w:rPr>
              <w:t>22,151.96</w:t>
            </w:r>
            <w:r>
              <w:rPr>
                <w:rFonts w:hint="eastAsia" w:ascii="仿宋" w:hAnsi="仿宋" w:eastAsia="仿宋" w:cs="仿宋"/>
                <w:color w:val="000000"/>
                <w:sz w:val="18"/>
                <w:szCs w:val="18"/>
              </w:rPr>
              <w:t>万元，</w:t>
            </w:r>
            <w:r>
              <w:rPr>
                <w:rFonts w:hint="eastAsia" w:ascii="仿宋" w:hAnsi="仿宋" w:eastAsia="仿宋" w:cs="仿宋"/>
                <w:color w:val="000000"/>
                <w:sz w:val="18"/>
                <w:szCs w:val="18"/>
                <w:lang w:eastAsia="zh-CN"/>
              </w:rPr>
              <w:t>当年未执行完</w:t>
            </w:r>
            <w:r>
              <w:rPr>
                <w:rFonts w:hint="eastAsia" w:ascii="仿宋" w:hAnsi="仿宋" w:eastAsia="仿宋" w:cs="仿宋"/>
                <w:color w:val="000000"/>
                <w:sz w:val="18"/>
                <w:szCs w:val="18"/>
                <w:lang w:val="en-US" w:eastAsia="zh-CN"/>
              </w:rPr>
              <w:t>结余资金8,050.14万元，</w:t>
            </w:r>
            <w:r>
              <w:rPr>
                <w:rFonts w:hint="eastAsia" w:ascii="仿宋" w:hAnsi="仿宋" w:eastAsia="仿宋" w:cs="仿宋"/>
                <w:color w:val="000000"/>
                <w:sz w:val="18"/>
                <w:szCs w:val="18"/>
                <w:lang w:eastAsia="zh-CN"/>
              </w:rPr>
              <w:t>支付率</w:t>
            </w:r>
            <w:r>
              <w:rPr>
                <w:rFonts w:hint="eastAsia" w:ascii="仿宋" w:hAnsi="仿宋" w:eastAsia="仿宋" w:cs="仿宋"/>
                <w:color w:val="000000"/>
                <w:sz w:val="18"/>
                <w:szCs w:val="18"/>
                <w:lang w:val="en-US" w:eastAsia="zh-CN"/>
              </w:rPr>
              <w:t>73.58%。其中：基本支出4,633.38万元（</w:t>
            </w:r>
            <w:r>
              <w:rPr>
                <w:rFonts w:hint="eastAsia" w:ascii="仿宋" w:hAnsi="仿宋" w:eastAsia="仿宋" w:cs="仿宋"/>
                <w:color w:val="000000"/>
                <w:sz w:val="18"/>
                <w:szCs w:val="18"/>
                <w:lang w:eastAsia="zh-CN"/>
              </w:rPr>
              <w:t>含</w:t>
            </w:r>
            <w:r>
              <w:rPr>
                <w:rFonts w:hint="eastAsia" w:ascii="仿宋" w:hAnsi="仿宋" w:eastAsia="仿宋" w:cs="仿宋"/>
                <w:color w:val="000000"/>
                <w:sz w:val="18"/>
                <w:szCs w:val="18"/>
                <w:lang w:val="en-US" w:eastAsia="zh-CN"/>
              </w:rPr>
              <w:t>人员经费支出3,714.14万元，日常公用经费支出919.24万元），占总支出20.91%；项目支出17,518.58万元，占总支出79.09%。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9" w:hRule="atLeast"/>
        </w:trPr>
        <w:tc>
          <w:tcPr>
            <w:tcW w:w="4264"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（三）简要概述当年省委省政府下达的重点工作。</w:t>
            </w:r>
          </w:p>
        </w:tc>
        <w:tc>
          <w:tcPr>
            <w:tcW w:w="5006"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Lines="0" w:line="240" w:lineRule="exact"/>
              <w:jc w:val="both"/>
              <w:textAlignment w:val="auto"/>
              <w:outlineLvl w:val="9"/>
              <w:rPr>
                <w:rFonts w:hint="eastAsia" w:ascii="仿宋" w:hAnsi="仿宋" w:eastAsia="仿宋" w:cs="仿宋"/>
                <w:i w:val="0"/>
                <w:color w:val="000000"/>
                <w:sz w:val="18"/>
                <w:szCs w:val="18"/>
                <w:u w:val="none"/>
              </w:rPr>
            </w:pPr>
            <w:r>
              <w:rPr>
                <w:rFonts w:hint="eastAsia" w:ascii="仿宋" w:hAnsi="仿宋" w:eastAsia="仿宋" w:cs="仿宋"/>
                <w:b/>
                <w:bCs w:val="0"/>
                <w:i w:val="0"/>
                <w:caps w:val="0"/>
                <w:color w:val="000000"/>
                <w:spacing w:val="0"/>
                <w:kern w:val="2"/>
                <w:sz w:val="18"/>
                <w:szCs w:val="18"/>
                <w:shd w:val="clear" w:color="auto" w:fill="FFFFFF"/>
                <w:lang w:val="en-US" w:eastAsia="zh-CN" w:bidi="ar-SA"/>
              </w:rPr>
              <w:t>1</w:t>
            </w:r>
            <w:r>
              <w:rPr>
                <w:rFonts w:hint="eastAsia" w:ascii="仿宋" w:hAnsi="仿宋" w:eastAsia="仿宋" w:cs="仿宋"/>
                <w:i w:val="0"/>
                <w:color w:val="000000"/>
                <w:kern w:val="0"/>
                <w:sz w:val="18"/>
                <w:szCs w:val="18"/>
                <w:u w:val="none"/>
                <w:lang w:val="en-US" w:eastAsia="zh-CN" w:bidi="ar"/>
              </w:rPr>
              <w:t>.</w:t>
            </w:r>
            <w:r>
              <w:rPr>
                <w:rFonts w:hint="eastAsia" w:ascii="仿宋" w:hAnsi="仿宋" w:eastAsia="仿宋" w:cs="仿宋"/>
                <w:b/>
                <w:bCs w:val="0"/>
                <w:i w:val="0"/>
                <w:caps w:val="0"/>
                <w:color w:val="000000"/>
                <w:spacing w:val="0"/>
                <w:kern w:val="2"/>
                <w:sz w:val="18"/>
                <w:szCs w:val="18"/>
                <w:shd w:val="clear" w:color="auto" w:fill="FFFFFF"/>
                <w:lang w:val="en-US" w:eastAsia="zh-CN" w:bidi="ar-SA"/>
              </w:rPr>
              <w:t>压实责任、精准施策，安全生产形势持续稳定向好。</w:t>
            </w:r>
            <w:r>
              <w:rPr>
                <w:rFonts w:hint="eastAsia" w:ascii="仿宋" w:hAnsi="仿宋" w:eastAsia="仿宋" w:cs="仿宋"/>
                <w:b/>
                <w:bCs/>
                <w:color w:val="000000"/>
                <w:spacing w:val="0"/>
                <w:sz w:val="18"/>
                <w:szCs w:val="18"/>
                <w:lang w:val="en-US" w:eastAsia="zh-CN"/>
              </w:rPr>
              <w:t>一是</w:t>
            </w:r>
            <w:r>
              <w:rPr>
                <w:rFonts w:hint="eastAsia" w:ascii="仿宋" w:hAnsi="仿宋" w:eastAsia="仿宋" w:cs="仿宋"/>
                <w:b w:val="0"/>
                <w:bCs w:val="0"/>
                <w:color w:val="000000"/>
                <w:spacing w:val="0"/>
                <w:sz w:val="18"/>
                <w:szCs w:val="18"/>
                <w:lang w:val="en-US" w:eastAsia="zh-CN"/>
              </w:rPr>
              <w:t>全力推进责任落实</w:t>
            </w:r>
            <w:r>
              <w:rPr>
                <w:rFonts w:hint="eastAsia" w:ascii="仿宋" w:hAnsi="仿宋" w:eastAsia="仿宋" w:cs="仿宋"/>
                <w:b w:val="0"/>
                <w:bCs w:val="0"/>
                <w:i w:val="0"/>
                <w:caps w:val="0"/>
                <w:color w:val="000000"/>
                <w:spacing w:val="0"/>
                <w:kern w:val="0"/>
                <w:sz w:val="18"/>
                <w:szCs w:val="18"/>
                <w:shd w:val="clear" w:color="auto" w:fill="FFFFFF"/>
                <w:lang w:val="en-US" w:eastAsia="zh-CN" w:bidi="ar"/>
              </w:rPr>
              <w:t>。提请省委省政府印发安全生产工作考核办法，首次对市级党委政府开展考核，严格落实党政同责。</w:t>
            </w:r>
            <w:r>
              <w:rPr>
                <w:rFonts w:hint="eastAsia" w:ascii="仿宋" w:hAnsi="仿宋" w:eastAsia="仿宋" w:cs="仿宋"/>
                <w:b/>
                <w:bCs/>
                <w:i w:val="0"/>
                <w:caps w:val="0"/>
                <w:color w:val="000000"/>
                <w:spacing w:val="0"/>
                <w:kern w:val="0"/>
                <w:sz w:val="18"/>
                <w:szCs w:val="18"/>
                <w:shd w:val="clear" w:color="auto" w:fill="FFFFFF"/>
                <w:lang w:val="en-US" w:eastAsia="zh-CN" w:bidi="ar"/>
              </w:rPr>
              <w:t>二是</w:t>
            </w:r>
            <w:r>
              <w:rPr>
                <w:rFonts w:hint="eastAsia" w:ascii="仿宋" w:hAnsi="仿宋" w:eastAsia="仿宋" w:cs="仿宋"/>
                <w:b w:val="0"/>
                <w:bCs w:val="0"/>
                <w:i w:val="0"/>
                <w:caps w:val="0"/>
                <w:color w:val="000000"/>
                <w:spacing w:val="0"/>
                <w:kern w:val="0"/>
                <w:sz w:val="18"/>
                <w:szCs w:val="18"/>
                <w:shd w:val="clear" w:color="auto" w:fill="FFFFFF"/>
                <w:lang w:val="en-US" w:eastAsia="zh-CN" w:bidi="ar"/>
              </w:rPr>
              <w:t>突出做好重点领域安全防范。</w:t>
            </w:r>
            <w:r>
              <w:rPr>
                <w:rFonts w:hint="eastAsia" w:ascii="仿宋" w:hAnsi="仿宋" w:eastAsia="仿宋" w:cs="仿宋"/>
                <w:b/>
                <w:bCs/>
                <w:i w:val="0"/>
                <w:caps w:val="0"/>
                <w:color w:val="000000"/>
                <w:spacing w:val="0"/>
                <w:kern w:val="0"/>
                <w:sz w:val="18"/>
                <w:szCs w:val="18"/>
                <w:shd w:val="clear" w:color="auto" w:fill="FFFFFF"/>
                <w:lang w:val="en-US" w:eastAsia="zh-CN" w:bidi="ar"/>
              </w:rPr>
              <w:t>三是</w:t>
            </w:r>
            <w:r>
              <w:rPr>
                <w:rFonts w:hint="eastAsia" w:ascii="仿宋" w:hAnsi="仿宋" w:eastAsia="仿宋" w:cs="仿宋"/>
                <w:b w:val="0"/>
                <w:bCs w:val="0"/>
                <w:i w:val="0"/>
                <w:caps w:val="0"/>
                <w:color w:val="000000"/>
                <w:spacing w:val="0"/>
                <w:kern w:val="0"/>
                <w:sz w:val="18"/>
                <w:szCs w:val="18"/>
                <w:shd w:val="clear" w:color="auto" w:fill="FFFFFF"/>
                <w:lang w:val="en-US" w:eastAsia="zh-CN" w:bidi="ar"/>
              </w:rPr>
              <w:t>扎实推进三年行动集中攻坚。</w:t>
            </w:r>
            <w:r>
              <w:rPr>
                <w:rFonts w:hint="eastAsia" w:ascii="仿宋" w:hAnsi="仿宋" w:eastAsia="仿宋" w:cs="仿宋"/>
                <w:b/>
                <w:bCs/>
                <w:i w:val="0"/>
                <w:caps w:val="0"/>
                <w:color w:val="000000"/>
                <w:spacing w:val="0"/>
                <w:kern w:val="0"/>
                <w:sz w:val="18"/>
                <w:szCs w:val="18"/>
                <w:shd w:val="clear" w:color="auto" w:fill="FFFFFF"/>
                <w:lang w:val="en-US" w:eastAsia="zh-CN" w:bidi="ar"/>
              </w:rPr>
              <w:t>四是</w:t>
            </w:r>
            <w:r>
              <w:rPr>
                <w:rFonts w:hint="eastAsia" w:ascii="仿宋" w:hAnsi="仿宋" w:eastAsia="仿宋" w:cs="仿宋"/>
                <w:b w:val="0"/>
                <w:bCs w:val="0"/>
                <w:color w:val="000000"/>
                <w:spacing w:val="0"/>
                <w:kern w:val="2"/>
                <w:sz w:val="18"/>
                <w:szCs w:val="18"/>
                <w:lang w:val="en-US" w:eastAsia="zh-CN" w:bidi="ar-SA"/>
              </w:rPr>
              <w:t>不断加大综合执法和事故查处力度。</w:t>
            </w:r>
            <w:r>
              <w:rPr>
                <w:rFonts w:hint="eastAsia" w:ascii="仿宋" w:hAnsi="仿宋" w:eastAsia="仿宋" w:cs="仿宋"/>
                <w:b/>
                <w:bCs w:val="0"/>
                <w:i w:val="0"/>
                <w:caps w:val="0"/>
                <w:color w:val="000000"/>
                <w:spacing w:val="0"/>
                <w:kern w:val="2"/>
                <w:sz w:val="18"/>
                <w:szCs w:val="18"/>
                <w:shd w:val="clear" w:color="auto" w:fill="FFFFFF"/>
                <w:lang w:val="en-US" w:eastAsia="zh-CN" w:bidi="ar-SA"/>
              </w:rPr>
              <w:t>2</w:t>
            </w:r>
            <w:r>
              <w:rPr>
                <w:rFonts w:hint="eastAsia" w:ascii="仿宋" w:hAnsi="仿宋" w:eastAsia="仿宋" w:cs="仿宋"/>
                <w:i w:val="0"/>
                <w:color w:val="000000"/>
                <w:kern w:val="0"/>
                <w:sz w:val="18"/>
                <w:szCs w:val="18"/>
                <w:u w:val="none"/>
                <w:lang w:val="en-US" w:eastAsia="zh-CN" w:bidi="ar"/>
              </w:rPr>
              <w:t>.</w:t>
            </w:r>
            <w:r>
              <w:rPr>
                <w:rFonts w:hint="eastAsia" w:ascii="仿宋" w:hAnsi="仿宋" w:eastAsia="仿宋" w:cs="仿宋"/>
                <w:b/>
                <w:bCs w:val="0"/>
                <w:i w:val="0"/>
                <w:caps w:val="0"/>
                <w:color w:val="000000"/>
                <w:spacing w:val="0"/>
                <w:kern w:val="2"/>
                <w:sz w:val="18"/>
                <w:szCs w:val="18"/>
                <w:shd w:val="clear" w:color="auto" w:fill="FFFFFF"/>
                <w:lang w:val="en-US" w:eastAsia="zh-CN" w:bidi="ar-SA"/>
              </w:rPr>
              <w:t>强化预警、科学应对，防灾减灾救灾取得新成就。</w:t>
            </w:r>
            <w:r>
              <w:rPr>
                <w:rFonts w:hint="eastAsia" w:ascii="仿宋" w:hAnsi="仿宋" w:eastAsia="仿宋" w:cs="仿宋"/>
                <w:b/>
                <w:bCs/>
                <w:color w:val="000000"/>
                <w:spacing w:val="0"/>
                <w:kern w:val="2"/>
                <w:sz w:val="18"/>
                <w:szCs w:val="18"/>
                <w:lang w:val="en-US" w:eastAsia="zh-CN" w:bidi="ar-SA"/>
              </w:rPr>
              <w:t>一是</w:t>
            </w:r>
            <w:r>
              <w:rPr>
                <w:rFonts w:hint="eastAsia" w:ascii="仿宋" w:hAnsi="仿宋" w:eastAsia="仿宋" w:cs="仿宋"/>
                <w:b w:val="0"/>
                <w:bCs w:val="0"/>
                <w:color w:val="000000"/>
                <w:spacing w:val="0"/>
                <w:kern w:val="2"/>
                <w:sz w:val="18"/>
                <w:szCs w:val="18"/>
                <w:lang w:val="en-US" w:eastAsia="zh-CN" w:bidi="ar-SA"/>
              </w:rPr>
              <w:t>灾害防范取得新成效。</w:t>
            </w:r>
            <w:r>
              <w:rPr>
                <w:rFonts w:hint="eastAsia" w:ascii="仿宋" w:hAnsi="仿宋" w:eastAsia="仿宋" w:cs="仿宋"/>
                <w:color w:val="000000"/>
                <w:spacing w:val="0"/>
                <w:kern w:val="2"/>
                <w:sz w:val="18"/>
                <w:szCs w:val="18"/>
                <w:lang w:val="en-US" w:eastAsia="zh-CN" w:bidi="ar-SA"/>
              </w:rPr>
              <w:t>面对60年最强汛情，先后启动省级1次Ⅲ级、3次Ⅳ级防汛应急响应，印发全省防灾避险人员转移工作机制，累计组织122.16万人次撤离避险</w:t>
            </w:r>
            <w:r>
              <w:rPr>
                <w:rFonts w:hint="eastAsia" w:ascii="仿宋" w:hAnsi="仿宋" w:eastAsia="仿宋" w:cs="仿宋"/>
                <w:i w:val="0"/>
                <w:caps w:val="0"/>
                <w:color w:val="000000"/>
                <w:spacing w:val="0"/>
                <w:sz w:val="18"/>
                <w:szCs w:val="18"/>
                <w:shd w:val="clear" w:color="auto" w:fill="FFFFFF"/>
                <w:lang w:val="en-US" w:eastAsia="zh-CN"/>
              </w:rPr>
              <w:t>。</w:t>
            </w:r>
            <w:r>
              <w:rPr>
                <w:rFonts w:hint="eastAsia" w:ascii="仿宋" w:hAnsi="仿宋" w:eastAsia="仿宋" w:cs="仿宋"/>
                <w:b/>
                <w:bCs/>
                <w:i w:val="0"/>
                <w:caps w:val="0"/>
                <w:color w:val="000000"/>
                <w:spacing w:val="0"/>
                <w:sz w:val="18"/>
                <w:szCs w:val="18"/>
                <w:shd w:val="clear" w:color="auto" w:fill="FFFFFF"/>
                <w:lang w:val="en-US" w:eastAsia="zh-CN"/>
              </w:rPr>
              <w:t>二是</w:t>
            </w:r>
            <w:r>
              <w:rPr>
                <w:rFonts w:hint="eastAsia" w:ascii="仿宋" w:hAnsi="仿宋" w:eastAsia="仿宋" w:cs="仿宋"/>
                <w:b w:val="0"/>
                <w:bCs w:val="0"/>
                <w:color w:val="000000"/>
                <w:spacing w:val="0"/>
                <w:kern w:val="2"/>
                <w:sz w:val="18"/>
                <w:szCs w:val="18"/>
                <w:lang w:val="en-US" w:eastAsia="zh-CN" w:bidi="ar-SA"/>
              </w:rPr>
              <w:t>灾害救助取得新进展。</w:t>
            </w:r>
            <w:r>
              <w:rPr>
                <w:rFonts w:hint="eastAsia" w:ascii="仿宋" w:hAnsi="仿宋" w:eastAsia="仿宋" w:cs="仿宋"/>
                <w:color w:val="000000"/>
                <w:spacing w:val="0"/>
                <w:kern w:val="2"/>
                <w:sz w:val="18"/>
                <w:szCs w:val="18"/>
                <w:lang w:val="en-US" w:eastAsia="zh-CN" w:bidi="ar-SA"/>
              </w:rPr>
              <w:t>2次启动省级自然灾害救助Ⅲ级响应，精准查灾核灾，设立集中安置点3640个，下拨各类救灾救助资金15.71亿元。</w:t>
            </w:r>
            <w:r>
              <w:rPr>
                <w:rFonts w:hint="eastAsia" w:ascii="仿宋" w:hAnsi="仿宋" w:eastAsia="仿宋" w:cs="仿宋"/>
                <w:b/>
                <w:bCs/>
                <w:color w:val="000000"/>
                <w:spacing w:val="0"/>
                <w:kern w:val="2"/>
                <w:sz w:val="18"/>
                <w:szCs w:val="18"/>
                <w:lang w:val="en-US" w:eastAsia="zh-CN" w:bidi="ar-SA"/>
              </w:rPr>
              <w:t>三是</w:t>
            </w:r>
            <w:r>
              <w:rPr>
                <w:rFonts w:hint="eastAsia" w:ascii="仿宋" w:hAnsi="仿宋" w:eastAsia="仿宋" w:cs="仿宋"/>
                <w:b w:val="0"/>
                <w:bCs w:val="0"/>
                <w:color w:val="000000"/>
                <w:spacing w:val="0"/>
                <w:kern w:val="2"/>
                <w:sz w:val="18"/>
                <w:szCs w:val="18"/>
                <w:lang w:val="en-US" w:eastAsia="zh-CN" w:bidi="ar-SA"/>
              </w:rPr>
              <w:t>综合减灾能力取得新提升。建立综合会商和预警响应发布机制，</w:t>
            </w:r>
            <w:r>
              <w:rPr>
                <w:rFonts w:hint="eastAsia" w:ascii="仿宋" w:hAnsi="仿宋" w:eastAsia="仿宋" w:cs="仿宋"/>
                <w:color w:val="000000"/>
                <w:spacing w:val="0"/>
                <w:sz w:val="18"/>
                <w:szCs w:val="18"/>
              </w:rPr>
              <w:t>扎实推进自然灾害防治能力“八大工程”，</w:t>
            </w:r>
            <w:r>
              <w:rPr>
                <w:rFonts w:hint="eastAsia" w:ascii="仿宋" w:hAnsi="仿宋" w:eastAsia="仿宋" w:cs="仿宋"/>
                <w:color w:val="000000"/>
                <w:spacing w:val="0"/>
                <w:sz w:val="18"/>
                <w:szCs w:val="18"/>
                <w:lang w:val="en-US" w:eastAsia="zh-CN"/>
              </w:rPr>
              <w:t>年度</w:t>
            </w:r>
            <w:r>
              <w:rPr>
                <w:rFonts w:hint="eastAsia" w:ascii="仿宋" w:hAnsi="仿宋" w:eastAsia="仿宋" w:cs="仿宋"/>
                <w:color w:val="000000"/>
                <w:spacing w:val="0"/>
                <w:sz w:val="18"/>
                <w:szCs w:val="18"/>
              </w:rPr>
              <w:t>灾害综合风险普查</w:t>
            </w:r>
            <w:r>
              <w:rPr>
                <w:rFonts w:hint="eastAsia" w:ascii="仿宋" w:hAnsi="仿宋" w:eastAsia="仿宋" w:cs="仿宋"/>
                <w:color w:val="000000"/>
                <w:spacing w:val="0"/>
                <w:sz w:val="18"/>
                <w:szCs w:val="18"/>
                <w:lang w:eastAsia="zh-CN"/>
              </w:rPr>
              <w:t>任务圆满完成。</w:t>
            </w:r>
            <w:r>
              <w:rPr>
                <w:rFonts w:hint="eastAsia" w:ascii="仿宋" w:hAnsi="仿宋" w:eastAsia="仿宋" w:cs="仿宋"/>
                <w:color w:val="000000"/>
                <w:spacing w:val="0"/>
                <w:sz w:val="18"/>
                <w:szCs w:val="18"/>
                <w:lang w:val="en-US" w:eastAsia="zh-CN"/>
              </w:rPr>
              <w:t>3</w:t>
            </w:r>
            <w:r>
              <w:rPr>
                <w:rFonts w:hint="eastAsia" w:ascii="仿宋" w:hAnsi="仿宋" w:eastAsia="仿宋" w:cs="仿宋"/>
                <w:i w:val="0"/>
                <w:color w:val="000000"/>
                <w:kern w:val="0"/>
                <w:sz w:val="18"/>
                <w:szCs w:val="18"/>
                <w:u w:val="none"/>
                <w:lang w:val="en-US" w:eastAsia="zh-CN" w:bidi="ar"/>
              </w:rPr>
              <w:t>.</w:t>
            </w:r>
            <w:r>
              <w:rPr>
                <w:rFonts w:hint="eastAsia" w:ascii="仿宋" w:hAnsi="仿宋" w:eastAsia="仿宋" w:cs="仿宋"/>
                <w:b/>
                <w:bCs w:val="0"/>
                <w:i w:val="0"/>
                <w:caps w:val="0"/>
                <w:color w:val="000000"/>
                <w:spacing w:val="0"/>
                <w:kern w:val="2"/>
                <w:sz w:val="18"/>
                <w:szCs w:val="18"/>
                <w:shd w:val="clear" w:color="auto" w:fill="FFFFFF"/>
                <w:lang w:val="en-US" w:eastAsia="zh-CN" w:bidi="ar-SA"/>
              </w:rPr>
              <w:t>平战结合、建强队伍，指挥救援能力稳步提升。</w:t>
            </w:r>
            <w:r>
              <w:rPr>
                <w:rFonts w:hint="eastAsia" w:ascii="仿宋" w:hAnsi="仿宋" w:eastAsia="仿宋" w:cs="仿宋"/>
                <w:b/>
                <w:bCs/>
                <w:color w:val="000000"/>
                <w:spacing w:val="0"/>
                <w:kern w:val="2"/>
                <w:sz w:val="18"/>
                <w:szCs w:val="18"/>
                <w:lang w:val="en-US" w:eastAsia="zh-CN" w:bidi="ar-SA"/>
              </w:rPr>
              <w:t>一是</w:t>
            </w:r>
            <w:r>
              <w:rPr>
                <w:rFonts w:hint="eastAsia" w:ascii="仿宋" w:hAnsi="仿宋" w:eastAsia="仿宋" w:cs="仿宋"/>
                <w:b w:val="0"/>
                <w:bCs w:val="0"/>
                <w:color w:val="000000"/>
                <w:spacing w:val="0"/>
                <w:kern w:val="2"/>
                <w:sz w:val="18"/>
                <w:szCs w:val="18"/>
                <w:lang w:val="en-US" w:eastAsia="zh-CN" w:bidi="ar-SA"/>
              </w:rPr>
              <w:t>救援体系加快完善。</w:t>
            </w:r>
            <w:r>
              <w:rPr>
                <w:rFonts w:hint="eastAsia" w:ascii="仿宋" w:hAnsi="仿宋" w:eastAsia="仿宋" w:cs="仿宋"/>
                <w:b w:val="0"/>
                <w:bCs w:val="0"/>
                <w:color w:val="000000"/>
                <w:spacing w:val="0"/>
                <w:sz w:val="18"/>
                <w:szCs w:val="18"/>
                <w:lang w:eastAsia="zh-CN"/>
              </w:rPr>
              <w:t>出台全省总体应急预案，</w:t>
            </w:r>
            <w:r>
              <w:rPr>
                <w:rFonts w:hint="eastAsia" w:ascii="仿宋" w:hAnsi="仿宋" w:eastAsia="仿宋" w:cs="仿宋"/>
                <w:b w:val="0"/>
                <w:bCs w:val="0"/>
                <w:color w:val="000000"/>
                <w:spacing w:val="0"/>
                <w:sz w:val="18"/>
                <w:szCs w:val="18"/>
                <w:lang w:val="en-US" w:eastAsia="zh-CN"/>
              </w:rPr>
              <w:t>修订完成</w:t>
            </w:r>
            <w:r>
              <w:rPr>
                <w:rFonts w:hint="eastAsia" w:ascii="仿宋" w:hAnsi="仿宋" w:eastAsia="仿宋" w:cs="仿宋"/>
                <w:b w:val="0"/>
                <w:bCs w:val="0"/>
                <w:color w:val="000000"/>
                <w:spacing w:val="0"/>
                <w:sz w:val="18"/>
                <w:szCs w:val="18"/>
                <w:lang w:eastAsia="zh-CN"/>
              </w:rPr>
              <w:t>森林草原火灾和地震地质灾害等</w:t>
            </w:r>
            <w:r>
              <w:rPr>
                <w:rFonts w:hint="eastAsia" w:ascii="仿宋" w:hAnsi="仿宋" w:eastAsia="仿宋" w:cs="仿宋"/>
                <w:b w:val="0"/>
                <w:bCs w:val="0"/>
                <w:color w:val="000000"/>
                <w:spacing w:val="0"/>
                <w:sz w:val="18"/>
                <w:szCs w:val="18"/>
                <w:lang w:val="en-US" w:eastAsia="zh-CN"/>
              </w:rPr>
              <w:t>10个专项</w:t>
            </w:r>
            <w:r>
              <w:rPr>
                <w:rFonts w:hint="eastAsia" w:ascii="仿宋" w:hAnsi="仿宋" w:eastAsia="仿宋" w:cs="仿宋"/>
                <w:b w:val="0"/>
                <w:bCs w:val="0"/>
                <w:color w:val="000000"/>
                <w:spacing w:val="0"/>
                <w:sz w:val="18"/>
                <w:szCs w:val="18"/>
                <w:lang w:eastAsia="zh-CN"/>
              </w:rPr>
              <w:t>预案。</w:t>
            </w:r>
            <w:r>
              <w:rPr>
                <w:rFonts w:hint="eastAsia" w:ascii="仿宋" w:hAnsi="仿宋" w:eastAsia="仿宋" w:cs="仿宋"/>
                <w:b/>
                <w:bCs/>
                <w:color w:val="000000"/>
                <w:spacing w:val="0"/>
                <w:sz w:val="18"/>
                <w:szCs w:val="18"/>
                <w:lang w:val="en-US" w:eastAsia="zh-CN"/>
              </w:rPr>
              <w:t>二是</w:t>
            </w:r>
            <w:r>
              <w:rPr>
                <w:rFonts w:hint="eastAsia" w:ascii="仿宋" w:hAnsi="仿宋" w:eastAsia="仿宋" w:cs="仿宋"/>
                <w:b w:val="0"/>
                <w:bCs w:val="0"/>
                <w:color w:val="000000"/>
                <w:spacing w:val="0"/>
                <w:sz w:val="18"/>
                <w:szCs w:val="18"/>
                <w:lang w:val="en-US" w:eastAsia="zh-CN"/>
              </w:rPr>
              <w:t>救援处置有力有序。部省市县四级联动，圆满完成宝鸡酒奠梁隧道塌方涉险事故救援；第一时间启动响应，赴大荔决堤现场指挥抢险救援，</w:t>
            </w:r>
            <w:r>
              <w:rPr>
                <w:rFonts w:hint="eastAsia" w:ascii="仿宋" w:hAnsi="仿宋" w:eastAsia="仿宋" w:cs="仿宋"/>
                <w:color w:val="000000"/>
                <w:spacing w:val="0"/>
                <w:sz w:val="18"/>
                <w:szCs w:val="18"/>
              </w:rPr>
              <w:t>调用33台大型抽水设备支援排涝</w:t>
            </w:r>
            <w:r>
              <w:rPr>
                <w:rFonts w:hint="eastAsia" w:ascii="仿宋" w:hAnsi="仿宋" w:eastAsia="仿宋" w:cs="仿宋"/>
                <w:color w:val="000000"/>
                <w:spacing w:val="0"/>
                <w:sz w:val="18"/>
                <w:szCs w:val="18"/>
                <w:lang w:eastAsia="zh-CN"/>
              </w:rPr>
              <w:t>；</w:t>
            </w:r>
            <w:r>
              <w:rPr>
                <w:rFonts w:hint="eastAsia" w:ascii="仿宋" w:hAnsi="仿宋" w:eastAsia="仿宋" w:cs="仿宋"/>
                <w:color w:val="000000"/>
                <w:spacing w:val="0"/>
                <w:sz w:val="18"/>
                <w:szCs w:val="18"/>
                <w:lang w:val="en-US" w:eastAsia="zh-CN"/>
              </w:rPr>
              <w:t>模块化调派</w:t>
            </w:r>
            <w:r>
              <w:rPr>
                <w:rFonts w:hint="eastAsia" w:ascii="仿宋" w:hAnsi="仿宋" w:eastAsia="仿宋" w:cs="仿宋"/>
                <w:color w:val="000000"/>
                <w:spacing w:val="0"/>
                <w:sz w:val="18"/>
                <w:szCs w:val="18"/>
              </w:rPr>
              <w:t>驻</w:t>
            </w:r>
            <w:r>
              <w:rPr>
                <w:rFonts w:hint="eastAsia" w:ascii="仿宋" w:hAnsi="仿宋" w:eastAsia="仿宋" w:cs="仿宋"/>
                <w:color w:val="000000"/>
                <w:spacing w:val="0"/>
                <w:sz w:val="18"/>
                <w:szCs w:val="18"/>
                <w:lang w:eastAsia="zh-CN"/>
              </w:rPr>
              <w:t>防</w:t>
            </w:r>
            <w:r>
              <w:rPr>
                <w:rFonts w:hint="eastAsia" w:ascii="仿宋" w:hAnsi="仿宋" w:eastAsia="仿宋" w:cs="仿宋"/>
                <w:color w:val="000000"/>
                <w:spacing w:val="0"/>
                <w:sz w:val="18"/>
                <w:szCs w:val="18"/>
              </w:rPr>
              <w:t>陕</w:t>
            </w:r>
            <w:r>
              <w:rPr>
                <w:rFonts w:hint="eastAsia" w:ascii="仿宋" w:hAnsi="仿宋" w:eastAsia="仿宋" w:cs="仿宋"/>
                <w:color w:val="000000"/>
                <w:spacing w:val="0"/>
                <w:sz w:val="18"/>
                <w:szCs w:val="18"/>
                <w:lang w:eastAsia="zh-CN"/>
              </w:rPr>
              <w:t>西</w:t>
            </w:r>
            <w:r>
              <w:rPr>
                <w:rFonts w:hint="eastAsia" w:ascii="仿宋" w:hAnsi="仿宋" w:eastAsia="仿宋" w:cs="仿宋"/>
                <w:color w:val="000000"/>
                <w:spacing w:val="0"/>
                <w:sz w:val="18"/>
                <w:szCs w:val="18"/>
              </w:rPr>
              <w:t>的西藏、新疆森防队伍</w:t>
            </w:r>
            <w:r>
              <w:rPr>
                <w:rFonts w:hint="eastAsia" w:ascii="仿宋" w:hAnsi="仿宋" w:eastAsia="仿宋" w:cs="仿宋"/>
                <w:color w:val="000000"/>
                <w:spacing w:val="0"/>
                <w:sz w:val="18"/>
                <w:szCs w:val="18"/>
                <w:lang w:eastAsia="zh-CN"/>
              </w:rPr>
              <w:t>投入</w:t>
            </w:r>
            <w:r>
              <w:rPr>
                <w:rFonts w:hint="eastAsia" w:ascii="仿宋" w:hAnsi="仿宋" w:eastAsia="仿宋" w:cs="仿宋"/>
                <w:color w:val="000000"/>
                <w:spacing w:val="0"/>
                <w:sz w:val="18"/>
                <w:szCs w:val="18"/>
                <w:lang w:val="en-US" w:eastAsia="zh-CN"/>
              </w:rPr>
              <w:t>洛南、蓝田、勉县参与防洪抢险救援。</w:t>
            </w:r>
            <w:r>
              <w:rPr>
                <w:rFonts w:hint="eastAsia" w:ascii="仿宋" w:hAnsi="仿宋" w:eastAsia="仿宋" w:cs="仿宋"/>
                <w:b/>
                <w:bCs/>
                <w:color w:val="000000"/>
                <w:spacing w:val="0"/>
                <w:kern w:val="2"/>
                <w:sz w:val="18"/>
                <w:szCs w:val="18"/>
                <w:lang w:val="en-US" w:eastAsia="zh-CN" w:bidi="ar-SA"/>
              </w:rPr>
              <w:t>三是</w:t>
            </w:r>
            <w:r>
              <w:rPr>
                <w:rFonts w:hint="eastAsia" w:ascii="仿宋" w:hAnsi="仿宋" w:eastAsia="仿宋" w:cs="仿宋"/>
                <w:b w:val="0"/>
                <w:bCs w:val="0"/>
                <w:color w:val="000000"/>
                <w:spacing w:val="0"/>
                <w:kern w:val="2"/>
                <w:sz w:val="18"/>
                <w:szCs w:val="18"/>
                <w:lang w:val="en-US" w:eastAsia="zh-CN" w:bidi="ar-SA"/>
              </w:rPr>
              <w:t>指挥调度全面加强。健全联合值班值守</w:t>
            </w:r>
            <w:r>
              <w:rPr>
                <w:rFonts w:hint="eastAsia" w:ascii="仿宋" w:hAnsi="仿宋" w:eastAsia="仿宋" w:cs="仿宋"/>
                <w:b w:val="0"/>
                <w:bCs w:val="0"/>
                <w:color w:val="000000"/>
                <w:spacing w:val="0"/>
                <w:sz w:val="18"/>
                <w:szCs w:val="18"/>
                <w:lang w:val="en-US" w:eastAsia="zh-CN"/>
              </w:rPr>
              <w:t>机制，增设7个行业专业值守，建立调度日报制度，强化分析研判、在线监管、精准调度，高效指挥应对宝鸡陇县关山大峡谷滑坡等35起突发事件。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45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一级</w:t>
            </w:r>
            <w:r>
              <w:rPr>
                <w:rFonts w:hint="eastAsia" w:ascii="黑体" w:hAnsi="黑体" w:eastAsia="黑体" w:cs="黑体"/>
                <w:b w:val="0"/>
                <w:bCs/>
                <w:i w:val="0"/>
                <w:color w:val="000000"/>
                <w:kern w:val="0"/>
                <w:sz w:val="18"/>
                <w:szCs w:val="18"/>
                <w:u w:val="none"/>
                <w:lang w:val="en-US" w:eastAsia="zh-CN" w:bidi="ar"/>
              </w:rPr>
              <w:br w:type="textWrapping"/>
            </w:r>
            <w:r>
              <w:rPr>
                <w:rFonts w:hint="eastAsia" w:ascii="黑体" w:hAnsi="黑体" w:eastAsia="黑体" w:cs="黑体"/>
                <w:b w:val="0"/>
                <w:bCs/>
                <w:i w:val="0"/>
                <w:color w:val="000000"/>
                <w:kern w:val="0"/>
                <w:sz w:val="18"/>
                <w:szCs w:val="18"/>
                <w:u w:val="none"/>
                <w:lang w:val="en-US" w:eastAsia="zh-CN" w:bidi="ar"/>
              </w:rPr>
              <w:t>指标</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二级</w:t>
            </w:r>
            <w:r>
              <w:rPr>
                <w:rFonts w:hint="eastAsia" w:ascii="黑体" w:hAnsi="黑体" w:eastAsia="黑体" w:cs="黑体"/>
                <w:b w:val="0"/>
                <w:bCs/>
                <w:i w:val="0"/>
                <w:color w:val="000000"/>
                <w:kern w:val="0"/>
                <w:sz w:val="18"/>
                <w:szCs w:val="18"/>
                <w:u w:val="none"/>
                <w:lang w:val="en-US" w:eastAsia="zh-CN" w:bidi="ar"/>
              </w:rPr>
              <w:br w:type="textWrapping"/>
            </w:r>
            <w:r>
              <w:rPr>
                <w:rFonts w:hint="eastAsia" w:ascii="黑体" w:hAnsi="黑体" w:eastAsia="黑体" w:cs="黑体"/>
                <w:b w:val="0"/>
                <w:bCs/>
                <w:i w:val="0"/>
                <w:color w:val="000000"/>
                <w:kern w:val="0"/>
                <w:sz w:val="18"/>
                <w:szCs w:val="18"/>
                <w:u w:val="none"/>
                <w:lang w:val="en-US" w:eastAsia="zh-CN" w:bidi="ar"/>
              </w:rPr>
              <w:t>指标</w:t>
            </w:r>
          </w:p>
        </w:tc>
        <w:tc>
          <w:tcPr>
            <w:tcW w:w="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三级指标</w:t>
            </w:r>
          </w:p>
        </w:tc>
        <w:tc>
          <w:tcPr>
            <w:tcW w:w="33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分值</w:t>
            </w:r>
          </w:p>
        </w:tc>
        <w:tc>
          <w:tcPr>
            <w:tcW w:w="253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指标说明</w:t>
            </w:r>
          </w:p>
        </w:tc>
        <w:tc>
          <w:tcPr>
            <w:tcW w:w="335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评分标准</w:t>
            </w:r>
          </w:p>
        </w:tc>
        <w:tc>
          <w:tcPr>
            <w:tcW w:w="6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年初  目标值</w:t>
            </w:r>
          </w:p>
        </w:tc>
        <w:tc>
          <w:tcPr>
            <w:tcW w:w="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实际  完成值</w:t>
            </w:r>
          </w:p>
        </w:tc>
        <w:tc>
          <w:tcPr>
            <w:tcW w:w="54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atLeast"/>
        </w:trPr>
        <w:tc>
          <w:tcPr>
            <w:tcW w:w="45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投入</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预算执行（25分）</w:t>
            </w:r>
          </w:p>
        </w:tc>
        <w:tc>
          <w:tcPr>
            <w:tcW w:w="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完成率</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（10分）</w:t>
            </w:r>
          </w:p>
        </w:tc>
        <w:tc>
          <w:tcPr>
            <w:tcW w:w="33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w:t>
            </w:r>
          </w:p>
        </w:tc>
        <w:tc>
          <w:tcPr>
            <w:tcW w:w="253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预算完成率=（预算完成数/预算数）×100%，用以反映和考核部门（单位）预算完成程度。</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预算完成数：部门（单位）本年度实际完成的预算数。</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预算数：财政部门批复的本年度部门（单位）预算数。</w:t>
            </w:r>
          </w:p>
        </w:tc>
        <w:tc>
          <w:tcPr>
            <w:tcW w:w="335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预算完成率＝100%的，得10分。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预算完成率≥95%的，得9分。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预算完成率在90%（含）和95%之间，得8分。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预算完成率在85%（含）和90%之间，得7分。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预算完成率在80%（含）和85%之间，得6分。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预算完成率在70%（含）和80%之间，得4分。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预算完成率＜70%的，得0分。</w:t>
            </w:r>
          </w:p>
        </w:tc>
        <w:tc>
          <w:tcPr>
            <w:tcW w:w="6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74%</w:t>
            </w:r>
          </w:p>
        </w:tc>
        <w:tc>
          <w:tcPr>
            <w:tcW w:w="54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1" w:hRule="atLeast"/>
        </w:trPr>
        <w:tc>
          <w:tcPr>
            <w:tcW w:w="334" w:type="dxa"/>
            <w:gridSpan w:val="2"/>
            <w:vMerge w:val="restart"/>
            <w:tcBorders>
              <w:top w:val="single" w:color="000000" w:sz="4" w:space="0"/>
              <w:left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26" w:type="dxa"/>
            <w:gridSpan w:val="2"/>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预算调整率</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预算调整率=（预算调整数/预算数）×100%，用以反映和考核部门（单位）预算的调整程度。</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预算包括一般公共预算与政府性基金预算。</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预算调整率绝对值≤5%，得5分。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预算调整率绝对值＞5%的，每增加0.1个百分点扣0.1分，扣完为止。</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8" w:hRule="atLeast"/>
        </w:trPr>
        <w:tc>
          <w:tcPr>
            <w:tcW w:w="334"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26"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支出进度率</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支出进度率=（实际支出/支出预算）×100%，用以反映和考核部门（单位）预算执行的及时性和均衡性程度。</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半年支出进度＝部门上半年实际支出/（上年结余结转+本年部门预算安排+上半年执行中追加追减）*100%。</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前三季度支出进度＝部门前三季度实际支出/（上年结余结转+本年部门预算安排+前三季度执行中追加追减）*100%。</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半年进度：进度率≥45%，得2分；进度率在40%（含）和45%之间，得1分；进度率＜40%，得0分。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前三季度进度：进度率≥75%，得3分；进度率在60%（含）和75%之间，得2分；进度率＜60%，得0分。</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≥90%</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74%</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rPr>
        <w:tc>
          <w:tcPr>
            <w:tcW w:w="334"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26"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预算编制准确率（5分）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部门预算中除财政拨款外的其他收入预算与决算差异率。</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预算编制准确率＝其他收入决算数/其他收入预算数×100%-100%。</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预算编制准确率≤20%，得5分。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预算编制准确率在20%和40%（含）之间，得3分。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预算编制准确率＞40%，得0分。</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6" w:hRule="atLeast"/>
        </w:trPr>
        <w:tc>
          <w:tcPr>
            <w:tcW w:w="334"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过程</w:t>
            </w:r>
          </w:p>
        </w:tc>
        <w:tc>
          <w:tcPr>
            <w:tcW w:w="626"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预算管理（15分）</w:t>
            </w: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“三公经费”控制率</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“三公经费”控制率=（“三公经费”实际支出数/“三公经费”预算安排数）×100%，用以反映和考核部门（单位）对“三公经费”的实际控制程度。</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三公经费控制率 ≤100%，得5分，每增加0.1个百分点扣0.5分，扣完为止。</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6" w:hRule="atLeast"/>
        </w:trPr>
        <w:tc>
          <w:tcPr>
            <w:tcW w:w="334"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26"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资产管理规范性</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部门（单位）资产管理是否规范，用以反映和考核部门（单位）资产管理情况。</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1.新增资产配置按预算执行。</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2.资产有偿使用、处置按规定程序审批。</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3.资产收益及时、足额上缴财政。</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全部符合5分，有1项不符扣2分,扣完为止。</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7" w:hRule="atLeast"/>
        </w:trPr>
        <w:tc>
          <w:tcPr>
            <w:tcW w:w="334"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26"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资金使用合规性</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部门（单位）使用预算资金是否符合相关的预算财务管理制度的规定，用以反映和考核部门（单位）预算资金的规范运行情况。</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1.符合国家财经法规和财务管理制度规定以及有关专项资金管理办法的规定；</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2.资金的拨付有完整的审批程序和手续；</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3.重大项目开支经过评估论证；</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4.符合部门预算批复的用途；</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5.不存在截留、挤占、挪用、虚列支出等情况。</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全部符合5分,有1项不符扣2分。</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9" w:hRule="atLeast"/>
        </w:trPr>
        <w:tc>
          <w:tcPr>
            <w:tcW w:w="334" w:type="dxa"/>
            <w:gridSpan w:val="2"/>
            <w:vMerge w:val="restart"/>
            <w:tcBorders>
              <w:top w:val="nil"/>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效果</w:t>
            </w:r>
          </w:p>
        </w:tc>
        <w:tc>
          <w:tcPr>
            <w:tcW w:w="626" w:type="dxa"/>
            <w:gridSpan w:val="2"/>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履职尽责（60分）</w:t>
            </w: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产出</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（40分）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 xml:space="preserve">财政资金使用效果是否明显。               1.安全生产执法检查，提高企业安全生产责任意识；                                </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2.安全生产隐患排查治理，减少事故起数</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 xml:space="preserve">                             </w:t>
            </w:r>
          </w:p>
        </w:tc>
        <w:tc>
          <w:tcPr>
            <w:tcW w:w="2370"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1.若为定性指标，根据“三档”原则分别按照指标分值的100-80%（含）、80-50%（含）、50-10%来记分；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有效提高</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有效提高</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0" w:hRule="atLeast"/>
        </w:trPr>
        <w:tc>
          <w:tcPr>
            <w:tcW w:w="334" w:type="dxa"/>
            <w:gridSpan w:val="2"/>
            <w:vMerge w:val="continue"/>
            <w:tcBorders>
              <w:top w:val="nil"/>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26" w:type="dxa"/>
            <w:gridSpan w:val="2"/>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18"/>
                <w:szCs w:val="18"/>
                <w:u w:val="none"/>
              </w:rPr>
            </w:pPr>
          </w:p>
        </w:tc>
        <w:tc>
          <w:tcPr>
            <w:tcW w:w="66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效益</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（20分）</w:t>
            </w:r>
          </w:p>
        </w:tc>
        <w:tc>
          <w:tcPr>
            <w:tcW w:w="24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达到那些社会效益和社会满意度情况。1、相关行业重特大事故得到有效遏制；2、减少人员伤亡及财产损失；          3、安全生产行政执法结案率。</w:t>
            </w:r>
          </w:p>
        </w:tc>
        <w:tc>
          <w:tcPr>
            <w:tcW w:w="2370"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有效提高</w:t>
            </w:r>
          </w:p>
        </w:tc>
        <w:tc>
          <w:tcPr>
            <w:tcW w:w="66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有效提高</w:t>
            </w:r>
          </w:p>
        </w:tc>
        <w:tc>
          <w:tcPr>
            <w:tcW w:w="3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7" w:hRule="atLeast"/>
        </w:trPr>
        <w:tc>
          <w:tcPr>
            <w:tcW w:w="9270" w:type="dxa"/>
            <w:gridSpan w:val="17"/>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备注：</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1.“项目产出”和“项目效果”直接细化成部门年初绩效目标中的指标，并根据重要程度赋权。</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39D1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next w:val="1"/>
    <w:qFormat/>
    <w:uiPriority w:val="99"/>
    <w:rPr>
      <w:rFonts w:ascii="Times New Roman" w:hAnsi="Times New Roman" w:eastAsia="宋体" w:cs="Times New Roman"/>
      <w:sz w:val="32"/>
      <w:szCs w:val="22"/>
    </w:rPr>
  </w:style>
  <w:style w:type="paragraph" w:styleId="3">
    <w:name w:val="Normal Indent"/>
    <w:basedOn w:val="1"/>
    <w:qFormat/>
    <w:uiPriority w:val="0"/>
    <w:pPr>
      <w:tabs>
        <w:tab w:val="left" w:pos="4117"/>
      </w:tabs>
      <w:overflowPunct w:val="0"/>
      <w:autoSpaceDE w:val="0"/>
      <w:autoSpaceDN w:val="0"/>
      <w:adjustRightInd w:val="0"/>
      <w:spacing w:line="500" w:lineRule="exact"/>
      <w:ind w:firstLine="517" w:firstLineChars="200"/>
    </w:pPr>
    <w:rPr>
      <w:rFonts w:ascii="宋体" w:hAnsi="Calibri" w:eastAsia="宋体" w:cs="Times New Roman"/>
      <w:spacing w:val="-20"/>
      <w:kern w:val="0"/>
      <w:sz w:val="24"/>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2022-07-20T08:47:26Z</dcterms:created>
  <dc:creator>Administrator</dc:creator>
  <cp:lastModifiedBy>安之若素i</cp:lastModifiedBy>
  <dcterms:modified xsi:type="dcterms:W3CDTF">2022-07-20T08:47:36Z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1CD3554B03A8415CA66144AFB4E6234F</vt:lpwstr>
  </property>
</Properties>
</file>