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240" w:lineRule="auto"/>
        <w:ind w:left="0" w:leftChars="0"/>
        <w:jc w:val="both"/>
        <w:textAlignment w:val="auto"/>
        <w:outlineLvl w:val="9"/>
        <w:rPr>
          <w:rFonts w:hint="default"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eastAsia="zh-CN"/>
        </w:rPr>
        <w:t>附件</w:t>
      </w:r>
      <w:r>
        <w:rPr>
          <w:rFonts w:hint="eastAsia" w:ascii="黑体" w:hAnsi="黑体" w:eastAsia="黑体" w:cs="黑体"/>
          <w:color w:val="000000"/>
          <w:spacing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2021</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eastAsia="zh-CN"/>
        </w:rPr>
        <w:t>省级应急管理专项</w:t>
      </w:r>
      <w:r>
        <w:rPr>
          <w:rFonts w:hint="eastAsia" w:ascii="方正小标宋简体" w:hAnsi="方正小标宋简体" w:eastAsia="方正小标宋简体" w:cs="方正小标宋简体"/>
          <w:b w:val="0"/>
          <w:bCs/>
          <w:color w:val="000000"/>
          <w:sz w:val="44"/>
          <w:szCs w:val="44"/>
        </w:rPr>
        <w:t>绩效自评报告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 w:cs="Times New Roman"/>
          <w:color w:val="000000"/>
          <w:sz w:val="32"/>
          <w:szCs w:val="32"/>
          <w:lang w:val="en-US" w:eastAsia="zh-CN"/>
        </w:rPr>
      </w:pP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w:t>
      </w:r>
      <w:r>
        <w:rPr>
          <w:rFonts w:hint="eastAsia" w:ascii="仿宋" w:hAnsi="仿宋" w:eastAsia="仿宋" w:cs="仿宋"/>
          <w:color w:val="000000"/>
          <w:sz w:val="32"/>
          <w:szCs w:val="32"/>
          <w:lang w:eastAsia="zh-CN"/>
        </w:rPr>
        <w:t>下达省级应急管理专项资金</w:t>
      </w:r>
      <w:r>
        <w:rPr>
          <w:rFonts w:hint="eastAsia" w:ascii="仿宋" w:hAnsi="仿宋" w:eastAsia="仿宋" w:cs="仿宋"/>
          <w:color w:val="000000"/>
          <w:sz w:val="32"/>
          <w:szCs w:val="32"/>
          <w:lang w:val="en-US" w:eastAsia="zh-CN"/>
        </w:rPr>
        <w:t>19</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000万元，其中：省应急厅7</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145万元、省防汛抗旱物资管理中心250万元、省宣教中心100万元、省安科中心50万元、省减灾中心150万元、</w:t>
      </w:r>
      <w:r>
        <w:rPr>
          <w:rFonts w:hint="eastAsia" w:ascii="仿宋" w:hAnsi="仿宋" w:eastAsia="仿宋" w:cs="仿宋"/>
          <w:color w:val="000000"/>
          <w:sz w:val="32"/>
          <w:szCs w:val="32"/>
          <w:lang w:eastAsia="zh-CN"/>
        </w:rPr>
        <w:t>省测绘地理信息局20万元、省森林资源管理局30万元、陕西延长石油</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集团</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有限责任公司30万元、陕西煤业化工集团有限责任公司30万元、省煤田地质集团有限公司10万元、陕西秦汉通用航空有限公司30万元、陕西建工集团有限公司30万元、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陕西地矿集团有限公司40万元、省三门峡库区管理局10万元、省地质调查院</w:t>
      </w:r>
      <w:r>
        <w:rPr>
          <w:rFonts w:hint="eastAsia" w:ascii="仿宋" w:hAnsi="仿宋" w:eastAsia="仿宋" w:cs="仿宋"/>
          <w:color w:val="000000"/>
          <w:sz w:val="32"/>
          <w:szCs w:val="32"/>
          <w:lang w:val="en-US" w:eastAsia="zh-CN"/>
        </w:rPr>
        <w:t>150万元、</w:t>
      </w:r>
      <w:r>
        <w:rPr>
          <w:rFonts w:hint="eastAsia" w:ascii="仿宋" w:hAnsi="仿宋" w:eastAsia="仿宋" w:cs="仿宋"/>
          <w:color w:val="000000"/>
          <w:sz w:val="32"/>
          <w:szCs w:val="32"/>
        </w:rPr>
        <w:t>西安市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028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宝鸡市</w:t>
      </w:r>
      <w:r>
        <w:rPr>
          <w:rFonts w:hint="eastAsia" w:ascii="仿宋" w:hAnsi="仿宋" w:eastAsia="仿宋" w:cs="仿宋"/>
          <w:color w:val="000000"/>
          <w:sz w:val="32"/>
          <w:szCs w:val="32"/>
          <w:lang w:val="en-US" w:eastAsia="zh-CN"/>
        </w:rPr>
        <w:t>818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咸阳市</w:t>
      </w:r>
      <w:r>
        <w:rPr>
          <w:rFonts w:hint="eastAsia" w:ascii="仿宋" w:hAnsi="仿宋" w:eastAsia="仿宋" w:cs="仿宋"/>
          <w:color w:val="000000"/>
          <w:sz w:val="32"/>
          <w:szCs w:val="32"/>
          <w:lang w:val="en-US" w:eastAsia="zh-CN"/>
        </w:rPr>
        <w:t>873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铜川市</w:t>
      </w:r>
      <w:r>
        <w:rPr>
          <w:rFonts w:hint="eastAsia" w:ascii="仿宋" w:hAnsi="仿宋" w:eastAsia="仿宋" w:cs="仿宋"/>
          <w:color w:val="000000"/>
          <w:sz w:val="32"/>
          <w:szCs w:val="32"/>
          <w:lang w:val="en-US" w:eastAsia="zh-CN"/>
        </w:rPr>
        <w:t>284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渭南市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274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延安市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061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榆林市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032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汉中市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414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安康市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107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商洛市</w:t>
      </w:r>
      <w:r>
        <w:rPr>
          <w:rFonts w:hint="eastAsia" w:ascii="仿宋" w:hAnsi="仿宋" w:eastAsia="仿宋" w:cs="仿宋"/>
          <w:color w:val="000000"/>
          <w:sz w:val="32"/>
          <w:szCs w:val="32"/>
          <w:lang w:val="en-US" w:eastAsia="zh-CN"/>
        </w:rPr>
        <w:t>1</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613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韩城市</w:t>
      </w:r>
      <w:r>
        <w:rPr>
          <w:rFonts w:hint="eastAsia" w:ascii="仿宋" w:hAnsi="仿宋" w:eastAsia="仿宋" w:cs="仿宋"/>
          <w:color w:val="000000"/>
          <w:sz w:val="32"/>
          <w:szCs w:val="32"/>
          <w:lang w:val="en-US" w:eastAsia="zh-CN"/>
        </w:rPr>
        <w:t>131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杨凌区</w:t>
      </w:r>
      <w:r>
        <w:rPr>
          <w:rFonts w:hint="eastAsia" w:ascii="仿宋" w:hAnsi="仿宋" w:eastAsia="仿宋" w:cs="仿宋"/>
          <w:color w:val="000000"/>
          <w:sz w:val="32"/>
          <w:szCs w:val="32"/>
          <w:lang w:val="en-US" w:eastAsia="zh-CN"/>
        </w:rPr>
        <w:t>122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西咸新区</w:t>
      </w:r>
      <w:r>
        <w:rPr>
          <w:rFonts w:hint="eastAsia" w:ascii="仿宋" w:hAnsi="仿宋" w:eastAsia="仿宋" w:cs="仿宋"/>
          <w:color w:val="000000"/>
          <w:sz w:val="32"/>
          <w:szCs w:val="32"/>
          <w:lang w:val="en-US" w:eastAsia="zh-CN"/>
        </w:rPr>
        <w:t>168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省应急厅会同</w:t>
      </w:r>
      <w:r>
        <w:rPr>
          <w:rFonts w:hint="eastAsia" w:ascii="仿宋" w:hAnsi="仿宋" w:eastAsia="仿宋" w:cs="仿宋"/>
          <w:color w:val="000000"/>
          <w:sz w:val="32"/>
          <w:szCs w:val="32"/>
        </w:rPr>
        <w:t>省财政</w:t>
      </w:r>
      <w:r>
        <w:rPr>
          <w:rFonts w:hint="eastAsia" w:ascii="仿宋" w:hAnsi="仿宋" w:eastAsia="仿宋" w:cs="仿宋"/>
          <w:color w:val="000000"/>
          <w:sz w:val="32"/>
          <w:szCs w:val="32"/>
          <w:lang w:eastAsia="zh-CN"/>
        </w:rPr>
        <w:t>厅已将省级应急管理专项资金</w:t>
      </w:r>
      <w:r>
        <w:rPr>
          <w:rFonts w:hint="eastAsia" w:ascii="仿宋" w:hAnsi="仿宋" w:eastAsia="仿宋" w:cs="仿宋"/>
          <w:color w:val="000000"/>
          <w:sz w:val="32"/>
          <w:szCs w:val="32"/>
          <w:lang w:val="en-US" w:eastAsia="zh-CN"/>
        </w:rPr>
        <w:t>19</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000</w:t>
      </w:r>
      <w:r>
        <w:rPr>
          <w:rFonts w:hint="eastAsia" w:ascii="仿宋" w:hAnsi="仿宋" w:eastAsia="仿宋" w:cs="仿宋"/>
          <w:color w:val="000000"/>
          <w:sz w:val="32"/>
          <w:szCs w:val="32"/>
        </w:rPr>
        <w:t>万元资金</w:t>
      </w:r>
      <w:r>
        <w:rPr>
          <w:rFonts w:hint="eastAsia" w:ascii="仿宋" w:hAnsi="仿宋" w:eastAsia="仿宋" w:cs="仿宋"/>
          <w:color w:val="000000"/>
          <w:sz w:val="32"/>
          <w:szCs w:val="32"/>
          <w:lang w:eastAsia="zh-CN"/>
        </w:rPr>
        <w:t>分别下达各实施单位及市县，省级资金下达率</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bCs w:val="0"/>
          <w:color w:val="000000"/>
          <w:sz w:val="32"/>
          <w:szCs w:val="32"/>
        </w:rPr>
        <w:t xml:space="preserve">2.项目资金执行情况分析 </w:t>
      </w:r>
      <w:r>
        <w:rPr>
          <w:rFonts w:hint="eastAsia" w:ascii="仿宋" w:hAnsi="仿宋" w:eastAsia="仿宋" w:cs="仿宋"/>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省级应急管理专项资金主要用于推进各类安全风险管控和隐患排查治理双重预防机制建设；通过课题研究、综合执法、灾害评估、应急保障能力建设提高基层防灾能力；通过推进应急管理全省信息化综合建设与应用提高预防预报科学决策水平；通过加强森林火灾扑救队伍保障与建设，进一步减少森林火灾，降低火灾损失；通过全面加强自然灾害应急救灾标准确保受灾群众基本生活；通过应急管理干部培训、应急工作宣传增强业务水平和社会认知度，牢固树立人民群众安全理念。</w:t>
      </w:r>
      <w:r>
        <w:rPr>
          <w:rFonts w:hint="eastAsia" w:ascii="仿宋" w:hAnsi="仿宋" w:eastAsia="仿宋" w:cs="仿宋"/>
          <w:color w:val="000000"/>
          <w:sz w:val="32"/>
          <w:szCs w:val="32"/>
          <w:lang w:val="en-US" w:eastAsia="zh-CN"/>
        </w:rPr>
        <w:t>2</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290.9万元结转2022年度，</w:t>
      </w:r>
      <w:r>
        <w:rPr>
          <w:rFonts w:hint="eastAsia" w:ascii="仿宋" w:hAnsi="仿宋" w:eastAsia="仿宋" w:cs="仿宋"/>
          <w:color w:val="000000"/>
          <w:sz w:val="32"/>
          <w:szCs w:val="32"/>
          <w:lang w:eastAsia="zh-CN"/>
        </w:rPr>
        <w:t>通过反馈情况看资金执行率为</w:t>
      </w:r>
      <w:r>
        <w:rPr>
          <w:rFonts w:hint="eastAsia" w:ascii="仿宋" w:hAnsi="仿宋" w:eastAsia="仿宋" w:cs="仿宋"/>
          <w:color w:val="000000"/>
          <w:sz w:val="32"/>
          <w:szCs w:val="32"/>
          <w:lang w:val="en-US" w:eastAsia="zh-CN"/>
        </w:rPr>
        <w:t>88%</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3.项目资金管理情况分析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明确项目资金用途，要求严格专款专用，不得调整资金用途、更不得挤占、截留和挪用。</w:t>
      </w:r>
      <w:r>
        <w:rPr>
          <w:rFonts w:hint="eastAsia" w:ascii="仿宋" w:hAnsi="仿宋" w:eastAsia="仿宋" w:cs="仿宋"/>
          <w:color w:val="000000"/>
          <w:sz w:val="32"/>
          <w:szCs w:val="32"/>
          <w:lang w:eastAsia="zh-CN"/>
        </w:rPr>
        <w:t>省应急管理厅、市县应急管理局</w:t>
      </w:r>
      <w:r>
        <w:rPr>
          <w:rFonts w:hint="eastAsia" w:ascii="仿宋" w:hAnsi="仿宋" w:eastAsia="仿宋" w:cs="仿宋"/>
          <w:color w:val="000000"/>
          <w:sz w:val="32"/>
          <w:szCs w:val="32"/>
        </w:rPr>
        <w:t>对资金使用、项目建设完成情况进行监督检查。</w:t>
      </w:r>
      <w:r>
        <w:rPr>
          <w:rFonts w:hint="eastAsia" w:ascii="仿宋" w:hAnsi="仿宋" w:eastAsia="仿宋" w:cs="仿宋"/>
          <w:color w:val="000000"/>
          <w:sz w:val="32"/>
          <w:szCs w:val="32"/>
          <w:lang w:eastAsia="zh-CN"/>
        </w:rPr>
        <w:t>省级要求未完成资金执行各部门加快资金执行，早日发挥效益。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 xml:space="preserve">（二）总体绩效项目完成情况分析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根据年度目标任务，省应急管理厅将安全生产专项资金分为</w:t>
      </w:r>
      <w:r>
        <w:rPr>
          <w:rFonts w:hint="eastAsia" w:ascii="仿宋" w:hAnsi="仿宋" w:eastAsia="仿宋" w:cs="仿宋"/>
          <w:color w:val="000000"/>
          <w:sz w:val="32"/>
          <w:szCs w:val="32"/>
          <w:lang w:val="en-US" w:eastAsia="zh-CN"/>
        </w:rPr>
        <w:t>7类17专项下达各单位和地市圆满完成重大安全风险排查治理、防汛救灾减灾、森林防火、系统信息建设、应急培训宣传等任务。</w:t>
      </w:r>
      <w:r>
        <w:rPr>
          <w:rFonts w:hint="eastAsia" w:ascii="仿宋" w:hAnsi="仿宋" w:eastAsia="仿宋" w:cs="仿宋"/>
          <w:i w:val="0"/>
          <w:caps w:val="0"/>
          <w:color w:val="000000"/>
          <w:spacing w:val="0"/>
          <w:kern w:val="0"/>
          <w:sz w:val="32"/>
          <w:szCs w:val="32"/>
          <w:shd w:val="clear" w:color="auto" w:fill="FFFFFF"/>
          <w:lang w:val="en-US" w:eastAsia="zh-CN" w:bidi="ar"/>
        </w:rPr>
        <w:t>生产安全事故起数、死亡人数分别下降25.92</w:t>
      </w:r>
      <w:r>
        <w:rPr>
          <w:rFonts w:hint="eastAsia" w:ascii="仿宋" w:hAnsi="仿宋" w:eastAsia="仿宋" w:cs="仿宋"/>
          <w:i w:val="0"/>
          <w:caps w:val="0"/>
          <w:color w:val="000000"/>
          <w:spacing w:val="0"/>
          <w:sz w:val="32"/>
          <w:szCs w:val="32"/>
          <w:shd w:val="clear" w:color="auto" w:fill="FFFFFF"/>
          <w:lang w:val="en-US" w:eastAsia="zh-CN"/>
        </w:rPr>
        <w:t>%、16.15%，36个多月未发生重大以上生产安全事故，</w:t>
      </w:r>
      <w:r>
        <w:rPr>
          <w:rFonts w:hint="eastAsia" w:ascii="仿宋" w:hAnsi="仿宋" w:eastAsia="仿宋" w:cs="仿宋"/>
          <w:b w:val="0"/>
          <w:bCs w:val="0"/>
          <w:color w:val="000000"/>
          <w:spacing w:val="0"/>
          <w:sz w:val="32"/>
          <w:szCs w:val="32"/>
          <w:lang w:val="en-US" w:eastAsia="zh-CN"/>
        </w:rPr>
        <w:t>全省安全形势总体稳定</w:t>
      </w:r>
      <w:r>
        <w:rPr>
          <w:rFonts w:hint="eastAsia" w:ascii="仿宋" w:hAnsi="仿宋" w:eastAsia="仿宋" w:cs="仿宋"/>
          <w:i w:val="0"/>
          <w:caps w:val="0"/>
          <w:color w:val="000000"/>
          <w:spacing w:val="0"/>
          <w:sz w:val="32"/>
          <w:szCs w:val="32"/>
          <w:shd w:val="clear" w:color="auto" w:fill="FFFFFF"/>
          <w:lang w:val="en-US" w:eastAsia="zh-CN"/>
        </w:rPr>
        <w:t>；防汛抢险经受严峻考验，森林草原防灭火取得历史最好成绩；应急处置及时高效，酒奠梁隧道坍塌遇险事故救援、大荔漫堤决口险情处置入选2021年全国应急救援十大典型案例，实现了“十四五”良好开局。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（三）绩效指标完成情况分析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1.产出指标完成情况分析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 xml:space="preserve">（1）数量指标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tl w:val="0"/>
          <w:lang w:val="zh-TW" w:eastAsia="zh-CN"/>
        </w:rPr>
      </w:pPr>
      <w:r>
        <w:rPr>
          <w:rFonts w:hint="eastAsia" w:ascii="仿宋" w:hAnsi="仿宋" w:eastAsia="仿宋" w:cs="仿宋"/>
          <w:color w:val="000000"/>
          <w:sz w:val="32"/>
          <w:szCs w:val="32"/>
          <w:lang w:val="en-US" w:eastAsia="zh-CN"/>
        </w:rPr>
        <w:t>2021年购买执法服装、装备169套、包租车执法车辆6台，完成教育培训1.7万人次，完成省级预案编制4个，完成100个省级综合减灾示范区创建，完成陕西省自然灾害综合监测预警系统项目建设;应急管理一张图项目建设;危险化学品安全生产风险监测预警系统</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二期</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项目建设</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网络安全保障项目</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一期</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建设;组织14支省级专业应急救援队伍开展业务培训、应急演练、能力考核评估；组织开展省级危险化学品道路运输事故、自然灾害演练项目和2次应急指挥桌面推演；与6家媒体单位合作，在省级及发上媒体刊登稿件22814篇、推出6期“领导谈安全”访谈节目，科普视频340部，完成全省无人看守铁路道口监护下拨经费21个，发放道口看守经费人员147个；2021年汛期全省</w:t>
      </w:r>
      <w:r>
        <w:rPr>
          <w:rFonts w:hint="eastAsia" w:ascii="仿宋" w:hAnsi="仿宋" w:eastAsia="仿宋" w:cs="仿宋"/>
          <w:color w:val="000000"/>
          <w:sz w:val="32"/>
          <w:szCs w:val="32"/>
          <w:lang w:eastAsia="zh-CN"/>
        </w:rPr>
        <w:t>累计紧急转移安置51.3万人次。因灾生活困难群众进行“一卡通”现金发放</w:t>
      </w:r>
      <w:r>
        <w:rPr>
          <w:rFonts w:hint="eastAsia" w:ascii="仿宋" w:hAnsi="仿宋" w:eastAsia="仿宋" w:cs="仿宋"/>
          <w:color w:val="000000"/>
          <w:sz w:val="32"/>
          <w:szCs w:val="32"/>
          <w:lang w:val="en-US" w:eastAsia="zh-CN"/>
        </w:rPr>
        <w:t>335万人、</w:t>
      </w:r>
      <w:r>
        <w:rPr>
          <w:rFonts w:hint="eastAsia" w:ascii="仿宋" w:hAnsi="仿宋" w:eastAsia="仿宋" w:cs="仿宋"/>
          <w:color w:val="000000"/>
          <w:sz w:val="32"/>
          <w:szCs w:val="32"/>
          <w:lang w:eastAsia="zh-CN"/>
        </w:rPr>
        <w:t>实物救助</w:t>
      </w:r>
      <w:r>
        <w:rPr>
          <w:rFonts w:hint="eastAsia" w:ascii="仿宋" w:hAnsi="仿宋" w:eastAsia="仿宋" w:cs="仿宋"/>
          <w:color w:val="000000"/>
          <w:sz w:val="32"/>
          <w:szCs w:val="32"/>
          <w:lang w:val="en-US" w:eastAsia="zh-CN"/>
        </w:rPr>
        <w:t>32.5万人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恢复重建9827户、修缮17510户、死亡失踪人员家属抚慰、受灾群众转移安置和过渡期救助269052人；2021年全省共</w:t>
      </w:r>
      <w:r>
        <w:rPr>
          <w:rFonts w:hint="eastAsia" w:ascii="仿宋" w:hAnsi="仿宋" w:eastAsia="仿宋" w:cs="仿宋"/>
          <w:color w:val="000000"/>
          <w:sz w:val="32"/>
          <w:szCs w:val="32"/>
        </w:rPr>
        <w:t>出动</w:t>
      </w:r>
      <w:r>
        <w:rPr>
          <w:rFonts w:hint="eastAsia" w:ascii="仿宋" w:hAnsi="仿宋" w:eastAsia="仿宋" w:cs="仿宋"/>
          <w:color w:val="000000"/>
          <w:sz w:val="32"/>
          <w:szCs w:val="32"/>
          <w:lang w:val="en-US" w:eastAsia="zh-CN"/>
        </w:rPr>
        <w:t>各类</w:t>
      </w:r>
      <w:r>
        <w:rPr>
          <w:rFonts w:hint="eastAsia" w:ascii="仿宋" w:hAnsi="仿宋" w:eastAsia="仿宋" w:cs="仿宋"/>
          <w:color w:val="000000"/>
          <w:sz w:val="32"/>
          <w:szCs w:val="32"/>
        </w:rPr>
        <w:t>抢险救援</w:t>
      </w:r>
      <w:r>
        <w:rPr>
          <w:rFonts w:hint="eastAsia" w:ascii="仿宋" w:hAnsi="仿宋" w:eastAsia="仿宋" w:cs="仿宋"/>
          <w:color w:val="000000"/>
          <w:sz w:val="32"/>
          <w:szCs w:val="32"/>
          <w:lang w:val="en-US" w:eastAsia="zh-CN"/>
        </w:rPr>
        <w:t>人员</w:t>
      </w:r>
      <w:r>
        <w:rPr>
          <w:rFonts w:hint="eastAsia" w:ascii="仿宋" w:hAnsi="仿宋" w:eastAsia="仿宋" w:cs="仿宋"/>
          <w:color w:val="000000"/>
          <w:sz w:val="32"/>
          <w:szCs w:val="32"/>
        </w:rPr>
        <w:t>力量</w:t>
      </w:r>
      <w:r>
        <w:rPr>
          <w:rFonts w:hint="eastAsia" w:ascii="仿宋" w:hAnsi="仿宋" w:eastAsia="仿宋" w:cs="仿宋"/>
          <w:color w:val="000000"/>
          <w:sz w:val="32"/>
          <w:szCs w:val="32"/>
          <w:lang w:val="en-US" w:eastAsia="zh-CN"/>
        </w:rPr>
        <w:t>57万</w:t>
      </w:r>
      <w:r>
        <w:rPr>
          <w:rFonts w:hint="eastAsia" w:ascii="仿宋" w:hAnsi="仿宋" w:eastAsia="仿宋" w:cs="仿宋"/>
          <w:color w:val="000000"/>
          <w:sz w:val="32"/>
          <w:szCs w:val="32"/>
        </w:rPr>
        <w:t>人次</w:t>
      </w:r>
      <w:r>
        <w:rPr>
          <w:rFonts w:hint="eastAsia" w:ascii="仿宋" w:hAnsi="仿宋" w:eastAsia="仿宋" w:cs="仿宋"/>
          <w:color w:val="000000"/>
          <w:sz w:val="32"/>
          <w:szCs w:val="32"/>
          <w:lang w:eastAsia="zh-CN"/>
        </w:rPr>
        <w:t>以上</w:t>
      </w:r>
      <w:r>
        <w:rPr>
          <w:rFonts w:hint="eastAsia" w:ascii="仿宋" w:hAnsi="仿宋" w:eastAsia="仿宋" w:cs="仿宋"/>
          <w:color w:val="000000"/>
          <w:sz w:val="32"/>
          <w:szCs w:val="32"/>
        </w:rPr>
        <w:t>，处置各类险情</w:t>
      </w:r>
      <w:r>
        <w:rPr>
          <w:rFonts w:hint="eastAsia" w:ascii="仿宋" w:hAnsi="仿宋" w:eastAsia="仿宋" w:cs="仿宋"/>
          <w:color w:val="000000"/>
          <w:sz w:val="32"/>
          <w:szCs w:val="32"/>
          <w:lang w:val="en-US" w:eastAsia="zh-CN"/>
        </w:rPr>
        <w:t>353</w:t>
      </w:r>
      <w:r>
        <w:rPr>
          <w:rFonts w:hint="eastAsia" w:ascii="仿宋" w:hAnsi="仿宋" w:eastAsia="仿宋" w:cs="仿宋"/>
          <w:color w:val="000000"/>
          <w:sz w:val="32"/>
          <w:szCs w:val="32"/>
          <w:lang w:eastAsia="zh-CN"/>
        </w:rPr>
        <w:t>起以上</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人员转移避险148万人次以上，</w:t>
      </w:r>
      <w:r>
        <w:rPr>
          <w:rFonts w:hint="eastAsia" w:ascii="仿宋" w:hAnsi="仿宋" w:eastAsia="仿宋" w:cs="仿宋"/>
          <w:color w:val="000000"/>
          <w:sz w:val="32"/>
          <w:szCs w:val="32"/>
        </w:rPr>
        <w:t>投入防汛设备：</w:t>
      </w:r>
      <w:r>
        <w:rPr>
          <w:rFonts w:hint="eastAsia" w:ascii="仿宋" w:hAnsi="仿宋" w:eastAsia="仿宋" w:cs="仿宋"/>
          <w:color w:val="000000"/>
          <w:sz w:val="32"/>
          <w:szCs w:val="32"/>
          <w:lang w:eastAsia="zh-CN"/>
        </w:rPr>
        <w:t>抢险船</w:t>
      </w:r>
      <w:r>
        <w:rPr>
          <w:rFonts w:hint="eastAsia" w:ascii="仿宋" w:hAnsi="仿宋" w:eastAsia="仿宋" w:cs="仿宋"/>
          <w:color w:val="000000"/>
          <w:sz w:val="32"/>
          <w:szCs w:val="32"/>
          <w:lang w:val="en-US" w:eastAsia="zh-CN"/>
        </w:rPr>
        <w:t>440条次以上、</w:t>
      </w:r>
      <w:r>
        <w:rPr>
          <w:rFonts w:hint="eastAsia" w:ascii="仿宋" w:hAnsi="仿宋" w:eastAsia="仿宋" w:cs="仿宋"/>
          <w:color w:val="000000"/>
          <w:sz w:val="32"/>
          <w:szCs w:val="32"/>
        </w:rPr>
        <w:t>运输设备</w:t>
      </w:r>
      <w:r>
        <w:rPr>
          <w:rFonts w:hint="eastAsia" w:ascii="仿宋" w:hAnsi="仿宋" w:eastAsia="仿宋" w:cs="仿宋"/>
          <w:color w:val="000000"/>
          <w:sz w:val="32"/>
          <w:szCs w:val="32"/>
          <w:lang w:val="en-US" w:eastAsia="zh-CN"/>
        </w:rPr>
        <w:t>64518台次以上</w:t>
      </w:r>
      <w:r>
        <w:rPr>
          <w:rFonts w:hint="eastAsia" w:ascii="仿宋" w:hAnsi="仿宋" w:eastAsia="仿宋" w:cs="仿宋"/>
          <w:color w:val="000000"/>
          <w:sz w:val="32"/>
          <w:szCs w:val="32"/>
        </w:rPr>
        <w:t>、机械</w:t>
      </w:r>
      <w:r>
        <w:rPr>
          <w:rFonts w:hint="eastAsia" w:ascii="仿宋" w:hAnsi="仿宋" w:eastAsia="仿宋" w:cs="仿宋"/>
          <w:color w:val="000000"/>
          <w:sz w:val="32"/>
          <w:szCs w:val="32"/>
          <w:lang w:val="en-US" w:eastAsia="zh-CN"/>
        </w:rPr>
        <w:t>36859</w:t>
      </w:r>
      <w:r>
        <w:rPr>
          <w:rFonts w:hint="eastAsia" w:ascii="仿宋" w:hAnsi="仿宋" w:eastAsia="仿宋" w:cs="仿宋"/>
          <w:color w:val="000000"/>
          <w:sz w:val="32"/>
          <w:szCs w:val="32"/>
        </w:rPr>
        <w:t>台次</w:t>
      </w:r>
      <w:r>
        <w:rPr>
          <w:rFonts w:hint="eastAsia" w:ascii="仿宋" w:hAnsi="仿宋" w:eastAsia="仿宋" w:cs="仿宋"/>
          <w:color w:val="000000"/>
          <w:sz w:val="32"/>
          <w:szCs w:val="32"/>
          <w:lang w:eastAsia="zh-CN"/>
        </w:rPr>
        <w:t>以上</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投入应急抗旱力量</w:t>
      </w:r>
      <w:r>
        <w:rPr>
          <w:rFonts w:hint="eastAsia" w:ascii="仿宋" w:hAnsi="仿宋" w:eastAsia="仿宋" w:cs="仿宋"/>
          <w:color w:val="000000"/>
          <w:sz w:val="32"/>
          <w:szCs w:val="32"/>
          <w:lang w:val="en-US" w:eastAsia="zh-CN"/>
        </w:rPr>
        <w:t>117.24万</w:t>
      </w:r>
      <w:r>
        <w:rPr>
          <w:rFonts w:hint="eastAsia" w:ascii="仿宋" w:hAnsi="仿宋" w:eastAsia="仿宋" w:cs="仿宋"/>
          <w:color w:val="000000"/>
          <w:sz w:val="32"/>
          <w:szCs w:val="32"/>
          <w:lang w:eastAsia="zh-CN"/>
        </w:rPr>
        <w:t>（人次），投入抗旱应急设备</w:t>
      </w:r>
      <w:r>
        <w:rPr>
          <w:rFonts w:hint="eastAsia" w:ascii="仿宋" w:hAnsi="仿宋" w:eastAsia="仿宋" w:cs="仿宋"/>
          <w:color w:val="000000"/>
          <w:sz w:val="32"/>
          <w:szCs w:val="32"/>
          <w:lang w:val="en-US" w:eastAsia="zh-CN"/>
        </w:rPr>
        <w:t>4.1207万（台次），拉水车17984辆次，</w:t>
      </w:r>
      <w:r>
        <w:rPr>
          <w:rFonts w:hint="eastAsia" w:ascii="仿宋" w:hAnsi="仿宋" w:eastAsia="仿宋" w:cs="仿宋"/>
          <w:color w:val="000000"/>
          <w:sz w:val="32"/>
          <w:szCs w:val="32"/>
          <w:lang w:eastAsia="zh-CN"/>
        </w:rPr>
        <w:t>解决临时用水困难人员</w:t>
      </w:r>
      <w:r>
        <w:rPr>
          <w:rFonts w:hint="eastAsia" w:ascii="仿宋" w:hAnsi="仿宋" w:eastAsia="仿宋" w:cs="仿宋"/>
          <w:color w:val="000000"/>
          <w:sz w:val="32"/>
          <w:szCs w:val="32"/>
          <w:lang w:val="en-US" w:eastAsia="zh-CN"/>
        </w:rPr>
        <w:t>9.5万人，17.46万头大牲畜，累计</w:t>
      </w:r>
      <w:r>
        <w:rPr>
          <w:rFonts w:hint="eastAsia" w:ascii="仿宋" w:hAnsi="仿宋" w:eastAsia="仿宋" w:cs="仿宋"/>
          <w:color w:val="000000"/>
          <w:sz w:val="32"/>
          <w:szCs w:val="32"/>
          <w:lang w:eastAsia="zh-CN"/>
        </w:rPr>
        <w:t>抗旱浇灌面积</w:t>
      </w:r>
      <w:r>
        <w:rPr>
          <w:rFonts w:hint="eastAsia" w:ascii="仿宋" w:hAnsi="仿宋" w:eastAsia="仿宋" w:cs="仿宋"/>
          <w:color w:val="000000"/>
          <w:sz w:val="32"/>
          <w:szCs w:val="32"/>
          <w:lang w:val="en-US" w:eastAsia="zh-CN"/>
        </w:rPr>
        <w:t>1087.4千公顷。2021年我厅安排省</w:t>
      </w:r>
      <w:r>
        <w:rPr>
          <w:rFonts w:hint="eastAsia" w:ascii="仿宋" w:hAnsi="仿宋" w:eastAsia="仿宋" w:cs="仿宋"/>
          <w:color w:val="000000"/>
          <w:sz w:val="32"/>
          <w:szCs w:val="32"/>
          <w:lang w:eastAsia="zh-CN"/>
        </w:rPr>
        <w:t>应急救援与航空护林中心</w:t>
      </w:r>
      <w:r>
        <w:rPr>
          <w:rFonts w:hint="eastAsia" w:ascii="仿宋" w:hAnsi="仿宋" w:eastAsia="仿宋" w:cs="仿宋"/>
          <w:color w:val="000000"/>
          <w:sz w:val="32"/>
          <w:szCs w:val="32"/>
          <w:lang w:val="en-US" w:eastAsia="zh-CN"/>
        </w:rPr>
        <w:t>在森林草原防灭火工作方面，累计发现火点、烟点70余处，参与处置火情20余起；跨省支援河南辉县、山西左权两个火场；参与西安蓝田“8·19”洪涝灾害救援工作，累计完成救灾飞行94架次，37小时30分，空投物资870余件（其中食品600余件，水225余件，药品、照明用品、服装50余件），解救人员15人（其中孕妇2人，儿童2人，老人及其他伤员11人），机降救援、勘测、工作人员24人/次</w:t>
      </w:r>
      <w:r>
        <w:rPr>
          <w:rFonts w:hint="eastAsia" w:ascii="仿宋" w:hAnsi="仿宋" w:eastAsia="仿宋" w:cs="仿宋"/>
          <w:color w:val="000000"/>
          <w:sz w:val="32"/>
          <w:szCs w:val="32"/>
          <w:rtl w:val="0"/>
          <w:lang w:val="zh-TW"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 xml:space="preserve">（2）质量指标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省级应急管理资金下拨率达</w:t>
      </w:r>
      <w:r>
        <w:rPr>
          <w:rFonts w:hint="eastAsia" w:ascii="仿宋" w:hAnsi="仿宋" w:eastAsia="仿宋" w:cs="仿宋"/>
          <w:color w:val="000000"/>
          <w:sz w:val="32"/>
          <w:szCs w:val="32"/>
          <w:lang w:val="en-US" w:eastAsia="zh-CN"/>
        </w:rPr>
        <w:t>100%，涉及安全生产、防灾减灾、信息建设、教育培训宣传等方面。已完成项目验收率100%，重建房屋质量100%达到国家标准。冬春资金分配以需口粮救助人口为基数进行测算人均不低于120元，在此基础上对省财政直管县再提高5%，高于国家人均90元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（3）时效指标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省级应急管理资金各市</w:t>
      </w:r>
      <w:r>
        <w:rPr>
          <w:rFonts w:hint="eastAsia" w:ascii="仿宋" w:hAnsi="仿宋" w:eastAsia="仿宋" w:cs="仿宋"/>
          <w:color w:val="000000"/>
          <w:sz w:val="32"/>
          <w:szCs w:val="32"/>
        </w:rPr>
        <w:t>30天内资金下达率为100%</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2.效益指标完成情况分析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（1）社会效益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安全生产方面持续深入推进安全专项整治三年行动任务措施落实，信息系统建设方面保证各项信息系统运转正常，网络及卫星系统运行稳定，森林防火方面全面提升森林火灾综合防控能力确保各项措施落实，保证人民群众生命财产安全。防灾减灾方面</w:t>
      </w:r>
      <w:r>
        <w:rPr>
          <w:rFonts w:hint="eastAsia" w:ascii="仿宋" w:hAnsi="仿宋" w:eastAsia="仿宋" w:cs="仿宋"/>
          <w:color w:val="000000"/>
          <w:sz w:val="32"/>
          <w:szCs w:val="32"/>
        </w:rPr>
        <w:t>帮助受灾群众克服生活困难</w:t>
      </w:r>
      <w:r>
        <w:rPr>
          <w:rFonts w:hint="eastAsia" w:ascii="仿宋" w:hAnsi="仿宋" w:eastAsia="仿宋" w:cs="仿宋"/>
          <w:color w:val="000000"/>
          <w:sz w:val="32"/>
          <w:szCs w:val="32"/>
          <w:lang w:eastAsia="zh-CN"/>
        </w:rPr>
        <w:t>，确保受灾困难群众有饭吃、有衣穿、有干净饮用水、有安全居所、有病得到及时医治等，确保安全温暖越冬度荒，</w:t>
      </w:r>
      <w:r>
        <w:rPr>
          <w:rFonts w:hint="eastAsia" w:ascii="仿宋" w:hAnsi="仿宋" w:eastAsia="仿宋" w:cs="仿宋"/>
          <w:color w:val="000000"/>
          <w:sz w:val="32"/>
          <w:szCs w:val="32"/>
        </w:rPr>
        <w:t>灾区社会秩序稳定有序</w:t>
      </w:r>
      <w:r>
        <w:rPr>
          <w:rFonts w:hint="eastAsia" w:ascii="仿宋" w:hAnsi="仿宋" w:eastAsia="仿宋" w:cs="仿宋"/>
          <w:color w:val="000000"/>
          <w:sz w:val="32"/>
          <w:szCs w:val="32"/>
          <w:lang w:eastAsia="zh-CN"/>
        </w:rPr>
        <w:t>，未发生负面舆情事件</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 xml:space="preserve">（2）可持续影响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000000"/>
          <w:sz w:val="32"/>
          <w:szCs w:val="32"/>
        </w:rPr>
      </w:pPr>
      <w:r>
        <w:rPr>
          <w:rFonts w:hint="eastAsia" w:ascii="仿宋" w:hAnsi="仿宋" w:eastAsia="仿宋" w:cs="仿宋"/>
          <w:i w:val="0"/>
          <w:color w:val="000000"/>
          <w:sz w:val="32"/>
          <w:szCs w:val="32"/>
          <w:u w:val="none"/>
          <w:lang w:val="en-US" w:eastAsia="zh-CN"/>
        </w:rPr>
        <w:t>有效推进安全风险管控和隐患排查治理双重预防机制建设，有力防范各类事故发生，保障人民群众生命财产安全。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3.满意度指标完成情况分析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受灾群众无投诉事件发生。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color w:val="000000"/>
          <w:sz w:val="32"/>
          <w:szCs w:val="32"/>
        </w:rPr>
      </w:pPr>
      <w:r>
        <w:rPr>
          <w:rFonts w:hint="eastAsia" w:ascii="黑体" w:hAnsi="黑体" w:eastAsia="黑体" w:cs="黑体"/>
          <w:b w:val="0"/>
          <w:bCs/>
          <w:color w:val="000000"/>
          <w:sz w:val="32"/>
          <w:szCs w:val="32"/>
        </w:rPr>
        <w:t>三、偏离绩效目标的原因和下一步改进措施</w:t>
      </w:r>
      <w:r>
        <w:rPr>
          <w:rFonts w:hint="eastAsia" w:ascii="黑体" w:hAnsi="黑体" w:eastAsia="黑体" w:cs="黑体"/>
          <w:b/>
          <w:color w:val="000000"/>
          <w:sz w:val="32"/>
          <w:szCs w:val="32"/>
        </w:rPr>
        <w:t xml:space="preserve"> </w:t>
      </w:r>
      <w:r>
        <w:rPr>
          <w:rFonts w:hint="eastAsia" w:ascii="仿宋" w:hAnsi="仿宋" w:eastAsia="仿宋" w:cs="仿宋"/>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下一步，</w:t>
      </w:r>
      <w:r>
        <w:rPr>
          <w:rFonts w:hint="eastAsia" w:ascii="仿宋" w:hAnsi="仿宋" w:eastAsia="仿宋" w:cs="仿宋"/>
          <w:color w:val="000000"/>
          <w:sz w:val="32"/>
          <w:szCs w:val="32"/>
        </w:rPr>
        <w:t>省应急管理厅</w:t>
      </w:r>
      <w:r>
        <w:rPr>
          <w:rFonts w:hint="eastAsia" w:ascii="仿宋" w:hAnsi="仿宋" w:eastAsia="仿宋" w:cs="仿宋"/>
          <w:color w:val="000000"/>
          <w:sz w:val="32"/>
          <w:szCs w:val="32"/>
          <w:lang w:eastAsia="zh-CN"/>
        </w:rPr>
        <w:t>将安全生产专项资金使用绩效作为重要</w:t>
      </w:r>
      <w:r>
        <w:rPr>
          <w:rFonts w:hint="eastAsia" w:ascii="仿宋" w:hAnsi="仿宋" w:eastAsia="仿宋" w:cs="仿宋"/>
          <w:color w:val="000000"/>
          <w:sz w:val="32"/>
          <w:szCs w:val="32"/>
        </w:rPr>
        <w:t>指标</w:t>
      </w:r>
      <w:r>
        <w:rPr>
          <w:rFonts w:hint="eastAsia" w:ascii="仿宋" w:hAnsi="仿宋" w:eastAsia="仿宋" w:cs="仿宋"/>
          <w:color w:val="000000"/>
          <w:sz w:val="32"/>
          <w:szCs w:val="32"/>
          <w:lang w:eastAsia="zh-CN"/>
        </w:rPr>
        <w:t>，进一步加强</w:t>
      </w:r>
      <w:r>
        <w:rPr>
          <w:rFonts w:hint="eastAsia" w:ascii="仿宋" w:hAnsi="仿宋" w:eastAsia="仿宋" w:cs="仿宋"/>
          <w:color w:val="000000"/>
          <w:sz w:val="32"/>
          <w:szCs w:val="32"/>
        </w:rPr>
        <w:t>考核评估</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认真落实灾</w:t>
      </w:r>
      <w:r>
        <w:rPr>
          <w:rFonts w:hint="eastAsia" w:ascii="仿宋" w:hAnsi="仿宋" w:eastAsia="仿宋" w:cs="仿宋"/>
          <w:color w:val="000000"/>
          <w:sz w:val="32"/>
          <w:szCs w:val="32"/>
          <w:lang w:eastAsia="zh-CN"/>
        </w:rPr>
        <w:t>安全生产</w:t>
      </w:r>
      <w:r>
        <w:rPr>
          <w:rFonts w:hint="eastAsia" w:ascii="仿宋" w:hAnsi="仿宋" w:eastAsia="仿宋" w:cs="仿宋"/>
          <w:color w:val="000000"/>
          <w:sz w:val="32"/>
          <w:szCs w:val="32"/>
        </w:rPr>
        <w:t>的主体责任，进一步提高思想认识，强化责任担当，按照中省</w:t>
      </w:r>
      <w:r>
        <w:rPr>
          <w:rFonts w:hint="eastAsia" w:ascii="仿宋" w:hAnsi="仿宋" w:eastAsia="仿宋" w:cs="仿宋"/>
          <w:color w:val="000000"/>
          <w:sz w:val="32"/>
          <w:szCs w:val="32"/>
          <w:lang w:eastAsia="zh-CN"/>
        </w:rPr>
        <w:t>要求，提高安全生产资金使用效能。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 xml:space="preserve">四、绩效自评结果拟应用和公开情况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加强项目管理、资金使用、监管等各方面工作，达到预期的使用绩效，项目预期目标完成100%。项目完成后对绩效自评结果将接受上级监督检查。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附表：转移支付区域（项目）绩效目标自评表</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 w:hAnsi="仿宋" w:eastAsia="仿宋"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附表</w:t>
      </w:r>
    </w:p>
    <w:p>
      <w:pPr>
        <w:spacing w:line="64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转移支付区域（项目）绩效目标自评表</w:t>
      </w:r>
    </w:p>
    <w:tbl>
      <w:tblPr>
        <w:tblStyle w:val="4"/>
        <w:tblW w:w="0" w:type="auto"/>
        <w:jc w:val="center"/>
        <w:tblLayout w:type="fixed"/>
        <w:tblCellMar>
          <w:top w:w="0" w:type="dxa"/>
          <w:left w:w="0" w:type="dxa"/>
          <w:bottom w:w="0" w:type="dxa"/>
          <w:right w:w="0" w:type="dxa"/>
        </w:tblCellMar>
      </w:tblPr>
      <w:tblGrid>
        <w:gridCol w:w="835"/>
        <w:gridCol w:w="449"/>
        <w:gridCol w:w="450"/>
        <w:gridCol w:w="2787"/>
        <w:gridCol w:w="846"/>
        <w:gridCol w:w="1854"/>
        <w:gridCol w:w="1200"/>
        <w:gridCol w:w="1466"/>
      </w:tblGrid>
      <w:tr>
        <w:tblPrEx>
          <w:tblCellMar>
            <w:top w:w="0" w:type="dxa"/>
            <w:left w:w="0" w:type="dxa"/>
            <w:bottom w:w="0" w:type="dxa"/>
            <w:right w:w="0" w:type="dxa"/>
          </w:tblCellMar>
        </w:tblPrEx>
        <w:trPr>
          <w:trHeight w:val="283" w:hRule="exact"/>
          <w:jc w:val="center"/>
        </w:trPr>
        <w:tc>
          <w:tcPr>
            <w:tcW w:w="9887" w:type="dxa"/>
            <w:gridSpan w:val="8"/>
            <w:tcBorders>
              <w:top w:val="nil"/>
              <w:left w:val="nil"/>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楷体" w:hAnsi="楷体" w:eastAsia="楷体" w:cs="楷体"/>
                <w:i w:val="0"/>
                <w:color w:val="000000"/>
                <w:kern w:val="0"/>
                <w:sz w:val="18"/>
                <w:szCs w:val="18"/>
                <w:u w:val="none"/>
                <w:lang w:val="en-US" w:eastAsia="zh-CN" w:bidi="ar"/>
              </w:rPr>
              <w:t>（2021年度）</w:t>
            </w:r>
          </w:p>
        </w:tc>
      </w:tr>
      <w:tr>
        <w:tblPrEx>
          <w:tblCellMar>
            <w:top w:w="0" w:type="dxa"/>
            <w:left w:w="0" w:type="dxa"/>
            <w:bottom w:w="0" w:type="dxa"/>
            <w:right w:w="0" w:type="dxa"/>
          </w:tblCellMar>
        </w:tblPrEx>
        <w:trPr>
          <w:trHeight w:val="283" w:hRule="exact"/>
          <w:jc w:val="center"/>
        </w:trPr>
        <w:tc>
          <w:tcPr>
            <w:tcW w:w="17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转移支付（项目）名称</w:t>
            </w:r>
          </w:p>
        </w:tc>
        <w:tc>
          <w:tcPr>
            <w:tcW w:w="815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tabs>
                <w:tab w:val="left" w:pos="1585"/>
              </w:tabs>
              <w:kinsoku/>
              <w:wordWrap/>
              <w:overflowPunct/>
              <w:topLinePunct w:val="0"/>
              <w:autoSpaceDE/>
              <w:autoSpaceDN/>
              <w:bidi w:val="0"/>
              <w:adjustRightInd/>
              <w:snapToGrid/>
              <w:spacing w:line="200" w:lineRule="exact"/>
              <w:jc w:val="left"/>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sz w:val="18"/>
                <w:szCs w:val="18"/>
                <w:u w:val="none"/>
                <w:lang w:eastAsia="zh-CN"/>
              </w:rPr>
              <w:tab/>
            </w:r>
            <w:r>
              <w:rPr>
                <w:rFonts w:hint="eastAsia" w:ascii="仿宋" w:hAnsi="仿宋" w:eastAsia="仿宋" w:cs="仿宋"/>
                <w:i w:val="0"/>
                <w:color w:val="000000"/>
                <w:sz w:val="18"/>
                <w:szCs w:val="18"/>
                <w:u w:val="none"/>
                <w:lang w:eastAsia="zh-CN"/>
              </w:rPr>
              <w:t>省级应急管理专项资金</w:t>
            </w:r>
          </w:p>
        </w:tc>
      </w:tr>
      <w:tr>
        <w:tblPrEx>
          <w:tblCellMar>
            <w:top w:w="0" w:type="dxa"/>
            <w:left w:w="0" w:type="dxa"/>
            <w:bottom w:w="0" w:type="dxa"/>
            <w:right w:w="0" w:type="dxa"/>
          </w:tblCellMar>
        </w:tblPrEx>
        <w:trPr>
          <w:trHeight w:val="283" w:hRule="exact"/>
          <w:jc w:val="center"/>
        </w:trPr>
        <w:tc>
          <w:tcPr>
            <w:tcW w:w="17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中央主管部门</w:t>
            </w:r>
          </w:p>
        </w:tc>
        <w:tc>
          <w:tcPr>
            <w:tcW w:w="815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both"/>
              <w:outlineLvl w:val="9"/>
              <w:rPr>
                <w:rFonts w:hint="eastAsia" w:ascii="仿宋" w:hAnsi="仿宋" w:eastAsia="仿宋" w:cs="仿宋"/>
                <w:i w:val="0"/>
                <w:color w:val="000000"/>
                <w:sz w:val="18"/>
                <w:szCs w:val="18"/>
                <w:u w:val="none"/>
                <w:lang w:eastAsia="zh-CN"/>
              </w:rPr>
            </w:pPr>
          </w:p>
        </w:tc>
      </w:tr>
      <w:tr>
        <w:tblPrEx>
          <w:tblCellMar>
            <w:top w:w="0" w:type="dxa"/>
            <w:left w:w="0" w:type="dxa"/>
            <w:bottom w:w="0" w:type="dxa"/>
            <w:right w:w="0" w:type="dxa"/>
          </w:tblCellMar>
        </w:tblPrEx>
        <w:trPr>
          <w:trHeight w:val="283" w:hRule="exact"/>
          <w:jc w:val="center"/>
        </w:trPr>
        <w:tc>
          <w:tcPr>
            <w:tcW w:w="17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地方主管部门</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sz w:val="18"/>
                <w:szCs w:val="18"/>
                <w:u w:val="none"/>
                <w:lang w:eastAsia="zh-CN"/>
              </w:rPr>
              <w:t>省财政厅</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实施单位</w:t>
            </w:r>
          </w:p>
        </w:tc>
        <w:tc>
          <w:tcPr>
            <w:tcW w:w="26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sz w:val="18"/>
                <w:szCs w:val="18"/>
                <w:u w:val="none"/>
                <w:lang w:eastAsia="zh-CN"/>
              </w:rPr>
              <w:t>应急管理厅</w:t>
            </w:r>
          </w:p>
        </w:tc>
      </w:tr>
      <w:tr>
        <w:tblPrEx>
          <w:tblCellMar>
            <w:top w:w="0" w:type="dxa"/>
            <w:left w:w="0" w:type="dxa"/>
            <w:bottom w:w="0" w:type="dxa"/>
            <w:right w:w="0" w:type="dxa"/>
          </w:tblCellMar>
        </w:tblPrEx>
        <w:trPr>
          <w:trHeight w:val="468" w:hRule="exact"/>
          <w:jc w:val="center"/>
        </w:trPr>
        <w:tc>
          <w:tcPr>
            <w:tcW w:w="173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项目资金（万元）</w:t>
            </w:r>
          </w:p>
        </w:tc>
        <w:tc>
          <w:tcPr>
            <w:tcW w:w="2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全年预算数（A）</w:t>
            </w:r>
          </w:p>
        </w:tc>
        <w:tc>
          <w:tcPr>
            <w:tcW w:w="30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全年执行数（B）</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预算执行率（B/A）</w:t>
            </w:r>
          </w:p>
        </w:tc>
      </w:tr>
      <w:tr>
        <w:tblPrEx>
          <w:tblCellMar>
            <w:top w:w="0" w:type="dxa"/>
            <w:left w:w="0" w:type="dxa"/>
            <w:bottom w:w="0" w:type="dxa"/>
            <w:right w:w="0" w:type="dxa"/>
          </w:tblCellMar>
        </w:tblPrEx>
        <w:trPr>
          <w:trHeight w:val="283" w:hRule="exact"/>
          <w:jc w:val="center"/>
        </w:trPr>
        <w:tc>
          <w:tcPr>
            <w:tcW w:w="173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2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年度资金总额：</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19000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16709.1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88</w:t>
            </w:r>
            <w:r>
              <w:rPr>
                <w:rFonts w:hint="eastAsia" w:ascii="仿宋" w:hAnsi="仿宋" w:eastAsia="仿宋" w:cs="仿宋"/>
                <w:i w:val="0"/>
                <w:color w:val="000000"/>
                <w:sz w:val="18"/>
                <w:szCs w:val="18"/>
                <w:u w:val="none"/>
              </w:rPr>
              <w:t>%</w:t>
            </w:r>
          </w:p>
        </w:tc>
      </w:tr>
      <w:tr>
        <w:tblPrEx>
          <w:tblCellMar>
            <w:top w:w="0" w:type="dxa"/>
            <w:left w:w="0" w:type="dxa"/>
            <w:bottom w:w="0" w:type="dxa"/>
            <w:right w:w="0" w:type="dxa"/>
          </w:tblCellMar>
        </w:tblPrEx>
        <w:trPr>
          <w:trHeight w:val="283" w:hRule="exact"/>
          <w:jc w:val="center"/>
        </w:trPr>
        <w:tc>
          <w:tcPr>
            <w:tcW w:w="173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2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其中：中央补助</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exact"/>
          <w:jc w:val="center"/>
        </w:trPr>
        <w:tc>
          <w:tcPr>
            <w:tcW w:w="173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2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地方资金</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19000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16709.1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lang w:val="en-US" w:eastAsia="zh-CN"/>
              </w:rPr>
              <w:t>88</w:t>
            </w:r>
            <w:r>
              <w:rPr>
                <w:rFonts w:hint="eastAsia" w:ascii="仿宋" w:hAnsi="仿宋" w:eastAsia="仿宋" w:cs="仿宋"/>
                <w:i w:val="0"/>
                <w:color w:val="000000"/>
                <w:sz w:val="18"/>
                <w:szCs w:val="18"/>
                <w:u w:val="none"/>
              </w:rPr>
              <w:t>%</w:t>
            </w:r>
          </w:p>
        </w:tc>
      </w:tr>
      <w:tr>
        <w:tblPrEx>
          <w:tblCellMar>
            <w:top w:w="0" w:type="dxa"/>
            <w:left w:w="0" w:type="dxa"/>
            <w:bottom w:w="0" w:type="dxa"/>
            <w:right w:w="0" w:type="dxa"/>
          </w:tblCellMar>
        </w:tblPrEx>
        <w:trPr>
          <w:trHeight w:val="283" w:hRule="exact"/>
          <w:jc w:val="center"/>
        </w:trPr>
        <w:tc>
          <w:tcPr>
            <w:tcW w:w="173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2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其他资金</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exac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总体目标完成情况</w:t>
            </w:r>
          </w:p>
        </w:tc>
        <w:tc>
          <w:tcPr>
            <w:tcW w:w="45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总体目标</w:t>
            </w:r>
          </w:p>
        </w:tc>
        <w:tc>
          <w:tcPr>
            <w:tcW w:w="45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全年实际完成情况</w:t>
            </w:r>
          </w:p>
        </w:tc>
      </w:tr>
      <w:tr>
        <w:tblPrEx>
          <w:tblCellMar>
            <w:top w:w="0" w:type="dxa"/>
            <w:left w:w="0" w:type="dxa"/>
            <w:bottom w:w="0" w:type="dxa"/>
            <w:right w:w="0" w:type="dxa"/>
          </w:tblCellMar>
        </w:tblPrEx>
        <w:trPr>
          <w:trHeight w:val="3761" w:hRule="exac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 w:hAnsi="仿宋" w:eastAsia="仿宋" w:cs="仿宋"/>
                <w:i w:val="0"/>
                <w:color w:val="000000"/>
                <w:sz w:val="18"/>
                <w:szCs w:val="18"/>
                <w:u w:val="none"/>
              </w:rPr>
            </w:pPr>
          </w:p>
        </w:tc>
        <w:tc>
          <w:tcPr>
            <w:tcW w:w="45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目标1：推进安全风险管控和隐患排查治理双重预防机制建设，有效防范各类事故发生，遏制重大特大事故的发生，保障人民群众生命和财产安全。</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目标2：提高自然灾害救助标准，加大防灾减灾救灾投入。全面加强自然灾害应急救助、帮助灾区完成倒损房恢复重建、确保受灾困难群众冬春生活，提升省级救灾工作能力。</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3：全面提高防汛抗旱能力，健全防汛抗旱减灾体系，增强全社会防灾风险意识，实施有效防汛抢险减灾措施。大力提高抗旱水源保障能力，有效调度抗洪供水，确保城乡群众生活用水，促进社会经济持续发展。</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目标4：加强扑救队伍建设和扑救物资储备，提升火灾扑救水平。进一步减少森林火灾，降低火灾损失，坚决杜绝重特大森林草原火灾和群死群伤事故发生力。                                            目标5：持续推进《陕西省自然灾害防治能力三年行动计划》。</w:t>
            </w:r>
          </w:p>
        </w:tc>
        <w:tc>
          <w:tcPr>
            <w:tcW w:w="45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目标1：推进安全风险管控和隐患排查治理双重预防机制建设，有效防范各类事故发生，遏制重大特大事故的发生，保障人民群众生命和财产安全。</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目标2：协调、指挥、组织参与安全生产事故灾难应急救援和事故调查工作；健全完善应急预案，加强日常应急演练，做好应急处置评估，不断提高快速反应、科学处置救援能力。</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目标3：加强无人看护、有人监护铁路道口管理，防止道口事故，保证铁路道口安全畅通。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目标4：保障受灾困难群众基本生活，减轻重建户资金压力。开展备汛备旱、汛旱预警、防汛抗洪抢险、抗旱减灾，确保城乡群众生命和生活用水安全。</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目标5：组织开展森林草原火灾扑救能力建设，加强监测预警，完善体制机制和扑救预案，将森林草原火灾消灭在萌芽阶段，减少因灾损失，避免人员伤亡，坚决遏制重特大森林草原火灾发生，为创建平安陕西作出贡献。</w:t>
            </w:r>
          </w:p>
        </w:tc>
      </w:tr>
      <w:tr>
        <w:tblPrEx>
          <w:tblCellMar>
            <w:top w:w="0" w:type="dxa"/>
            <w:left w:w="0" w:type="dxa"/>
            <w:bottom w:w="0" w:type="dxa"/>
            <w:right w:w="0" w:type="dxa"/>
          </w:tblCellMar>
        </w:tblPrEx>
        <w:trPr>
          <w:trHeight w:val="622" w:hRule="exact"/>
          <w:jc w:val="center"/>
        </w:trPr>
        <w:tc>
          <w:tcPr>
            <w:tcW w:w="835" w:type="dxa"/>
            <w:vMerge w:val="restart"/>
            <w:tcBorders>
              <w:top w:val="single" w:color="000000" w:sz="4" w:space="0"/>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一级指标</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二级指标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三级指标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全年完成值</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未完成原因和改进措施</w:t>
            </w: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产出指标</w:t>
            </w:r>
          </w:p>
        </w:tc>
        <w:tc>
          <w:tcPr>
            <w:tcW w:w="4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数量指标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开展双重预防机制建设企业覆盖率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≥70%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80%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4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安全生产监管人员培训数量</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≥3500人次</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17021人次</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4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组织开展相关安全生产宣传活动</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≥3次</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4次</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r>
      <w:tr>
        <w:tblPrEx>
          <w:tblCellMar>
            <w:top w:w="0" w:type="dxa"/>
            <w:left w:w="0" w:type="dxa"/>
            <w:bottom w:w="0" w:type="dxa"/>
            <w:right w:w="0" w:type="dxa"/>
          </w:tblCellMar>
        </w:tblPrEx>
        <w:trPr>
          <w:trHeight w:val="9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4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修复防汛抗旱应急设施，组织防汛抗洪抢险工作，确保人民生命财产安全，保障群众应急供水安全。</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4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救助受灾困难群众人数</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≥80万人</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335万人</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质量指标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安全生产监管人员培训质量</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lang w:val="en-US" w:eastAsia="zh-CN"/>
              </w:rPr>
              <w:t>9</w:t>
            </w:r>
            <w:r>
              <w:rPr>
                <w:rFonts w:hint="eastAsia" w:ascii="仿宋" w:hAnsi="仿宋" w:eastAsia="仿宋" w:cs="仿宋"/>
                <w:i w:val="0"/>
                <w:color w:val="000000"/>
                <w:sz w:val="18"/>
                <w:szCs w:val="18"/>
                <w:u w:val="none"/>
              </w:rPr>
              <w:t>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落实安全生产人员安全生产责任制</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保证铁路道口人员福利待遇，改善道口环境。</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90%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确保群众生命财产安全，保障群众应急饮水安全</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全省森林火灾受害率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≥0.9‰</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color w:val="000000"/>
                <w:sz w:val="18"/>
                <w:szCs w:val="18"/>
                <w:lang w:val="en-US" w:eastAsia="zh-CN"/>
              </w:rPr>
              <w:t>0.0047‰</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安全生产宣传覆盖率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90%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950" w:hRule="atLeast"/>
          <w:jc w:val="center"/>
        </w:trPr>
        <w:tc>
          <w:tcPr>
            <w:tcW w:w="835"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363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确保受灾困难群众“五有”：有饭吃、有衣穿、有干净饮用水、有安全居所、有病能得到及时医治。</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lang w:val="en-US" w:eastAsia="zh-CN"/>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top w:val="single" w:color="auto" w:sz="4" w:space="0"/>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top w:val="single" w:color="auto" w:sz="4" w:space="0"/>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时效指标</w:t>
            </w:r>
          </w:p>
        </w:tc>
        <w:tc>
          <w:tcPr>
            <w:tcW w:w="363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在规定时限内隐患治理完成率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安全生产监管人员培训指标完成率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sz w:val="18"/>
                <w:szCs w:val="18"/>
                <w:u w:val="none"/>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79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及时组织重大险情抢险，迅速控制险情发展，全力减少灾害损失。及时组织抗旱减灾，迅速开展应急调水，全力减轻旱灾损失。</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kern w:val="0"/>
                <w:sz w:val="18"/>
                <w:szCs w:val="18"/>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100</w:t>
            </w:r>
            <w:r>
              <w:rPr>
                <w:rFonts w:hint="eastAsia" w:ascii="仿宋" w:hAnsi="仿宋" w:eastAsia="仿宋" w:cs="仿宋"/>
                <w:i w:val="0"/>
                <w:color w:val="000000"/>
                <w:sz w:val="18"/>
                <w:szCs w:val="18"/>
                <w:u w:val="none"/>
              </w:rPr>
              <w:t>%</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火灾24小时扑灭率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100%</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安全生产宣传指标完成率</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98%</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灾害发生后，受灾困难群众得到基本生活救助。</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≤12小时</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≤12小时</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成本指标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预算控制数</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19000万元</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cs="仿宋"/>
                <w:i w:val="0"/>
                <w:color w:val="000000"/>
                <w:sz w:val="18"/>
                <w:szCs w:val="18"/>
                <w:u w:val="none"/>
                <w:lang w:val="en-US" w:eastAsia="zh-CN"/>
              </w:rPr>
              <w:t>16709.1</w:t>
            </w:r>
            <w:r>
              <w:rPr>
                <w:rFonts w:hint="eastAsia" w:ascii="仿宋" w:hAnsi="仿宋" w:eastAsia="仿宋" w:cs="仿宋"/>
                <w:i w:val="0"/>
                <w:color w:val="000000"/>
                <w:sz w:val="18"/>
                <w:szCs w:val="18"/>
                <w:u w:val="none"/>
                <w:lang w:val="en-US" w:eastAsia="zh-CN"/>
              </w:rPr>
              <w:t>万元</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仿宋" w:hAnsi="仿宋" w:eastAsia="仿宋" w:cs="仿宋"/>
                <w:i w:val="0"/>
                <w:color w:val="000000"/>
                <w:sz w:val="18"/>
                <w:szCs w:val="18"/>
                <w:u w:val="none"/>
              </w:rPr>
            </w:pPr>
            <w:r>
              <w:rPr>
                <w:rFonts w:hint="eastAsia" w:ascii="仿宋" w:hAnsi="仿宋" w:eastAsia="仿宋" w:cs="仿宋"/>
                <w:color w:val="000000"/>
                <w:sz w:val="18"/>
                <w:szCs w:val="18"/>
                <w:lang w:val="en-US" w:eastAsia="zh-CN"/>
              </w:rPr>
              <w:t>因疫情影响</w:t>
            </w:r>
            <w:r>
              <w:rPr>
                <w:rFonts w:hint="eastAsia" w:ascii="仿宋" w:hAnsi="仿宋" w:eastAsia="仿宋" w:cs="仿宋"/>
                <w:color w:val="000000"/>
                <w:sz w:val="18"/>
                <w:szCs w:val="18"/>
              </w:rPr>
              <w:t>，</w:t>
            </w:r>
            <w:r>
              <w:rPr>
                <w:rFonts w:hint="eastAsia" w:ascii="仿宋" w:hAnsi="仿宋" w:eastAsia="仿宋" w:cs="仿宋"/>
                <w:color w:val="000000"/>
                <w:sz w:val="18"/>
                <w:szCs w:val="18"/>
                <w:lang w:eastAsia="zh-CN"/>
              </w:rPr>
              <w:t>部分应急管理专项</w:t>
            </w:r>
            <w:r>
              <w:rPr>
                <w:rFonts w:hint="eastAsia" w:ascii="仿宋" w:hAnsi="仿宋" w:eastAsia="仿宋" w:cs="仿宋"/>
                <w:color w:val="000000"/>
                <w:sz w:val="18"/>
                <w:szCs w:val="18"/>
              </w:rPr>
              <w:t>项目</w:t>
            </w:r>
            <w:r>
              <w:rPr>
                <w:rFonts w:hint="eastAsia" w:ascii="仿宋" w:hAnsi="仿宋" w:eastAsia="仿宋" w:cs="仿宋"/>
                <w:color w:val="000000"/>
                <w:sz w:val="18"/>
                <w:szCs w:val="18"/>
                <w:lang w:eastAsia="zh-CN"/>
              </w:rPr>
              <w:t>未完成，按照</w:t>
            </w:r>
            <w:r>
              <w:rPr>
                <w:rFonts w:hint="eastAsia" w:ascii="仿宋" w:hAnsi="仿宋" w:eastAsia="仿宋" w:cs="仿宋"/>
                <w:color w:val="000000"/>
                <w:sz w:val="18"/>
                <w:szCs w:val="18"/>
              </w:rPr>
              <w:t>合同约定的资金支付尚未完成</w:t>
            </w:r>
            <w:r>
              <w:rPr>
                <w:rFonts w:hint="eastAsia" w:ascii="仿宋" w:hAnsi="仿宋" w:eastAsia="仿宋" w:cs="仿宋"/>
                <w:color w:val="000000"/>
                <w:sz w:val="18"/>
                <w:szCs w:val="18"/>
                <w:lang w:eastAsia="zh-CN"/>
              </w:rPr>
              <w:t>。下一步</w:t>
            </w:r>
            <w:r>
              <w:rPr>
                <w:rFonts w:hint="eastAsia" w:ascii="仿宋" w:hAnsi="仿宋" w:eastAsia="仿宋" w:cs="仿宋"/>
                <w:color w:val="000000"/>
                <w:sz w:val="18"/>
                <w:szCs w:val="18"/>
                <w:lang w:val="en-US" w:eastAsia="zh-CN"/>
              </w:rPr>
              <w:t>加快项目组织实施和加大资金支付力度。</w:t>
            </w:r>
          </w:p>
        </w:tc>
      </w:tr>
      <w:tr>
        <w:tblPrEx>
          <w:tblCellMar>
            <w:top w:w="0" w:type="dxa"/>
            <w:left w:w="0" w:type="dxa"/>
            <w:bottom w:w="0" w:type="dxa"/>
            <w:right w:w="0" w:type="dxa"/>
          </w:tblCellMar>
        </w:tblPrEx>
        <w:trPr>
          <w:trHeight w:val="625"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restart"/>
            <w:tcBorders>
              <w:top w:val="single" w:color="auto" w:sz="4" w:space="0"/>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color w:val="000000"/>
                <w:sz w:val="21"/>
                <w:szCs w:val="24"/>
              </w:rPr>
              <w:t>效益指标</w:t>
            </w:r>
          </w:p>
        </w:tc>
        <w:tc>
          <w:tcPr>
            <w:tcW w:w="4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社会效益指标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重特大事故得到有效遏制，减少人员伤亡及财产损失。确保全省安全生产持续稳定好转。</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不断提高</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不断提高</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提高企业安全生产水平，提升全社会安全意识，在全社会营造良好舆论环境。</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效果明显</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效果明显</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有力维护社会和谐稳定，提升民生保障能力。</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有效提高</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有效提高</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可持续影响指标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促进经济社会健康可持续发展和社会和谐稳定。</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长期</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835"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4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服务对象                     满意度指标</w:t>
            </w: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受灾困难群众满意度</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92%</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835"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c>
          <w:tcPr>
            <w:tcW w:w="4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18"/>
                <w:szCs w:val="18"/>
                <w:u w:val="none"/>
                <w:lang w:val="en-US" w:eastAsia="zh-CN" w:bidi="ar"/>
              </w:rPr>
            </w:pPr>
          </w:p>
        </w:tc>
        <w:tc>
          <w:tcPr>
            <w:tcW w:w="4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color w:val="000000"/>
                <w:kern w:val="0"/>
                <w:sz w:val="18"/>
                <w:szCs w:val="18"/>
                <w:u w:val="none"/>
                <w:lang w:val="en-US" w:eastAsia="zh-CN" w:bidi="ar"/>
              </w:rPr>
            </w:pPr>
          </w:p>
        </w:tc>
        <w:tc>
          <w:tcPr>
            <w:tcW w:w="36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18"/>
                <w:szCs w:val="18"/>
                <w:u w:val="none"/>
                <w:lang w:eastAsia="zh-CN"/>
              </w:rPr>
            </w:pPr>
            <w:r>
              <w:rPr>
                <w:rFonts w:hint="eastAsia" w:ascii="仿宋" w:hAnsi="仿宋" w:eastAsia="仿宋" w:cs="仿宋"/>
                <w:i w:val="0"/>
                <w:color w:val="000000"/>
                <w:kern w:val="0"/>
                <w:sz w:val="18"/>
                <w:szCs w:val="18"/>
                <w:u w:val="none"/>
                <w:lang w:val="en-US" w:eastAsia="zh-CN" w:bidi="ar"/>
              </w:rPr>
              <w:t>通过强有力的应急管理工作，让群众获得安全感。</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90</w:t>
            </w:r>
            <w:r>
              <w:rPr>
                <w:rFonts w:hint="eastAsia" w:ascii="仿宋" w:hAnsi="仿宋" w:eastAsia="仿宋" w:cs="仿宋"/>
                <w:i w:val="0"/>
                <w:color w:val="000000"/>
                <w:sz w:val="18"/>
                <w:szCs w:val="18"/>
                <w:u w:val="none"/>
              </w:rPr>
              <w:t>%</w:t>
            </w:r>
          </w:p>
        </w:tc>
        <w:tc>
          <w:tcPr>
            <w:tcW w:w="14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413" w:hRule="exact"/>
          <w:jc w:val="center"/>
        </w:trPr>
        <w:tc>
          <w:tcPr>
            <w:tcW w:w="9887"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18"/>
                <w:szCs w:val="18"/>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705F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99"/>
    <w:rPr>
      <w:rFonts w:ascii="Times New Roman" w:hAnsi="Times New Roman" w:eastAsia="宋体" w:cs="Times New Roman"/>
      <w:sz w:val="32"/>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2022-07-20T08:47:41Z</dcterms:created>
  <dc:creator>Administrator</dc:creator>
  <cp:lastModifiedBy>安之若素i</cp:lastModifiedBy>
  <dcterms:modified xsi:type="dcterms:W3CDTF">2022-07-20T08:47:59Z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E361371E98A443AD8EDF953D33ECEB54</vt:lpwstr>
  </property>
</Properties>
</file>