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outlineLvl w:val="9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陕西略阳钢铁有限责任公司安全生产违法违规行为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行政处罚信息表</w:t>
      </w:r>
    </w:p>
    <w:tbl>
      <w:tblPr>
        <w:tblStyle w:val="4"/>
        <w:tblW w:w="96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2750"/>
        <w:gridCol w:w="6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50" w:type="dxa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要素</w:t>
            </w:r>
          </w:p>
        </w:tc>
        <w:tc>
          <w:tcPr>
            <w:tcW w:w="6337" w:type="dxa"/>
            <w:tcBorders>
              <w:top w:val="single" w:color="333333" w:sz="6" w:space="0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auto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auto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案由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安全生产隐患管理类违法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案件名称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陕西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略阳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钢铁有限责任公司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炼钢厂操作室设置在炼钢熔融金属吊运区域等违法违规案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做出处罚决定机关名称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陕西省应急管理厅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处罚决定书文号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" w:eastAsia="仿宋_GB2312" w:cs="Calibri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仿宋_GB2312" w:hAnsi="仿宋" w:eastAsia="仿宋_GB2312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）应急罚〔</w:t>
            </w:r>
            <w:r>
              <w:rPr>
                <w:rFonts w:hint="eastAsia" w:ascii="仿宋_GB2312" w:hAnsi="仿宋" w:eastAsia="仿宋_GB2312" w:cs="Calibri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ascii="仿宋_GB2312" w:hAnsi="仿宋" w:eastAsia="仿宋_GB2312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仿宋_GB2312" w:hAnsi="仿宋" w:eastAsia="仿宋_GB2312" w:cs="Calibri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hAnsi="仿宋" w:eastAsia="仿宋_GB2312" w:cs="Calibri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" w:eastAsia="仿宋_GB2312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做出处罚决定日期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被处罚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行政相对人名称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陕西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略阳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钢铁有限责任公司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被处罚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行政相对人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陕西省汉中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略阳县兴州街道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被处罚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行政相对人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法定代表人姓名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方堃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被处罚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行政相对人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或身份证号码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6F6F6"/>
                <w14:textFill>
                  <w14:solidFill>
                    <w14:schemeClr w14:val="tx1"/>
                  </w14:solidFill>
                </w14:textFill>
              </w:rPr>
              <w:t>916107277552113597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违法事实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“炼钢厂操作室设置在炼钢熔融金属吊运区域”；2、“炼钢厂室内废钢烘烤炉有2处眼镜阀距其炉子在10米之内”；3、“发电厂设置的2个U型水封未按规定设置高、低水溢流及补水管，未设置排水器，定时手动排水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违法依据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《安全生产法》第41条第二款规定；原国家安全生产监督管理总局《关于进一步加强冶金企业煤气安全技术管理的有关规定》第十六条和第六条。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处罚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《安全生产法》第一百零二条、第九十九条第二款规定。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54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50" w:type="dxa"/>
            <w:tcBorders>
              <w:top w:val="nil"/>
              <w:left w:val="nil"/>
              <w:bottom w:val="single" w:color="333333" w:sz="6" w:space="0"/>
              <w:right w:val="single" w:color="333333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处罚结果</w:t>
            </w:r>
          </w:p>
        </w:tc>
        <w:tc>
          <w:tcPr>
            <w:tcW w:w="6337" w:type="dxa"/>
            <w:tcBorders>
              <w:top w:val="nil"/>
              <w:left w:val="nil"/>
              <w:bottom w:val="single" w:color="333333" w:sz="6" w:space="0"/>
              <w:right w:val="single" w:color="auto" w:sz="6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对该公司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处人民币80000元（捌万元）罚款。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MGVhOTQ5ZjFhODQ1NTdlZDk3ZDIxNDlmNjdiMDQifQ=="/>
  </w:docVars>
  <w:rsids>
    <w:rsidRoot w:val="00000000"/>
    <w:rsid w:val="0306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2022-11-24T03:35:51Z</dcterms:created>
  <dc:creator>许颖</dc:creator>
  <cp:lastModifiedBy>许颖</cp:lastModifiedBy>
  <dcterms:modified xsi:type="dcterms:W3CDTF">2022-11-24T03:36:00Z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A15764858BF94FC895B1C5FA472A93F6</vt:lpwstr>
  </property>
</Properties>
</file>