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ascii="黑体" w:eastAsia="黑体"/>
          <w:color w:val="000000"/>
        </w:rPr>
      </w:pPr>
      <w:r>
        <w:rPr>
          <w:rFonts w:ascii="黑体" w:eastAsia="黑体"/>
          <w:color w:val="000000"/>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cs="仿宋_GB2312"/>
          <w:bCs/>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eastAsia="方正小标宋简体" w:cs="仿宋_GB2312"/>
          <w:bCs/>
          <w:color w:val="000000"/>
          <w:sz w:val="44"/>
          <w:szCs w:val="44"/>
        </w:rPr>
      </w:pPr>
      <w:r>
        <w:rPr>
          <w:rFonts w:hint="eastAsia" w:ascii="方正小标宋简体" w:eastAsia="方正小标宋简体" w:cs="仿宋_GB2312"/>
          <w:bCs/>
          <w:color w:val="000000"/>
          <w:sz w:val="44"/>
          <w:szCs w:val="44"/>
        </w:rPr>
        <w:t>中石油渭南煤层气管输有限责任公司未按规定变更法定代表人信息类违法行政处罚信息</w:t>
      </w:r>
    </w:p>
    <w:p>
      <w:pPr>
        <w:pStyle w:val="3"/>
        <w:keepNext w:val="0"/>
        <w:keepLines w:val="0"/>
        <w:pageBreakBefore w:val="0"/>
        <w:widowControl w:val="0"/>
        <w:kinsoku/>
        <w:wordWrap/>
        <w:overflowPunct/>
        <w:topLinePunct w:val="0"/>
        <w:autoSpaceDE/>
        <w:autoSpaceDN/>
        <w:bidi w:val="0"/>
        <w:adjustRightInd/>
        <w:snapToGrid/>
        <w:spacing w:after="0" w:line="240" w:lineRule="exact"/>
        <w:textAlignment w:val="auto"/>
        <w:outlineLvl w:val="9"/>
        <w:rPr>
          <w:color w:val="000000"/>
        </w:rPr>
      </w:pPr>
    </w:p>
    <w:tbl>
      <w:tblPr>
        <w:tblStyle w:val="5"/>
        <w:tblW w:w="9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7"/>
        <w:gridCol w:w="2784"/>
        <w:gridCol w:w="5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697" w:type="dxa"/>
            <w:tcBorders>
              <w:top w:val="single" w:color="333333" w:sz="6" w:space="0"/>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黑体" w:eastAsia="黑体" w:cs="黑体"/>
                <w:bCs/>
                <w:color w:val="000000"/>
                <w:szCs w:val="24"/>
              </w:rPr>
            </w:pPr>
            <w:r>
              <w:rPr>
                <w:rStyle w:val="7"/>
                <w:rFonts w:hint="eastAsia" w:ascii="黑体" w:eastAsia="黑体" w:cs="黑体"/>
                <w:b w:val="0"/>
                <w:bCs/>
                <w:color w:val="000000"/>
                <w:szCs w:val="24"/>
              </w:rPr>
              <w:t>序号</w:t>
            </w:r>
          </w:p>
        </w:tc>
        <w:tc>
          <w:tcPr>
            <w:tcW w:w="2784" w:type="dxa"/>
            <w:tcBorders>
              <w:top w:val="single" w:color="333333" w:sz="6" w:space="0"/>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黑体" w:eastAsia="黑体" w:cs="黑体"/>
                <w:bCs/>
                <w:color w:val="000000"/>
                <w:szCs w:val="24"/>
              </w:rPr>
            </w:pPr>
            <w:r>
              <w:rPr>
                <w:rStyle w:val="7"/>
                <w:rFonts w:hint="eastAsia" w:ascii="黑体" w:eastAsia="黑体" w:cs="黑体"/>
                <w:b w:val="0"/>
                <w:bCs/>
                <w:color w:val="000000"/>
                <w:szCs w:val="24"/>
              </w:rPr>
              <w:t>要素</w:t>
            </w:r>
          </w:p>
        </w:tc>
        <w:tc>
          <w:tcPr>
            <w:tcW w:w="5689" w:type="dxa"/>
            <w:tcBorders>
              <w:top w:val="single" w:color="333333" w:sz="6" w:space="0"/>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黑体" w:eastAsia="黑体" w:cs="黑体"/>
                <w:bCs/>
                <w:color w:val="000000"/>
                <w:szCs w:val="24"/>
              </w:rPr>
            </w:pPr>
            <w:r>
              <w:rPr>
                <w:rStyle w:val="7"/>
                <w:rFonts w:hint="eastAsia" w:ascii="黑体" w:eastAsia="黑体" w:cs="黑体"/>
                <w:b w:val="0"/>
                <w:bCs/>
                <w:color w:val="000000"/>
                <w:szCs w:val="24"/>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97" w:type="dxa"/>
            <w:tcBorders>
              <w:top w:val="nil"/>
              <w:left w:val="single" w:color="333333" w:sz="6" w:space="0"/>
              <w:bottom w:val="single" w:color="auto"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1</w:t>
            </w:r>
          </w:p>
        </w:tc>
        <w:tc>
          <w:tcPr>
            <w:tcW w:w="2784" w:type="dxa"/>
            <w:tcBorders>
              <w:top w:val="nil"/>
              <w:left w:val="nil"/>
              <w:bottom w:val="single" w:color="auto"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案由</w:t>
            </w:r>
          </w:p>
        </w:tc>
        <w:tc>
          <w:tcPr>
            <w:tcW w:w="5689" w:type="dxa"/>
            <w:tcBorders>
              <w:top w:val="nil"/>
              <w:left w:val="nil"/>
              <w:bottom w:val="single" w:color="auto"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ascii="仿宋" w:eastAsia="仿宋" w:cs="仿宋"/>
                <w:color w:val="000000"/>
                <w:szCs w:val="24"/>
              </w:rPr>
            </w:pPr>
            <w:r>
              <w:rPr>
                <w:rFonts w:hint="eastAsia" w:ascii="仿宋" w:eastAsia="仿宋" w:cs="仿宋"/>
                <w:color w:val="000000"/>
                <w:szCs w:val="24"/>
              </w:rPr>
              <w:t>未按规定变更法定代表人信息</w:t>
            </w:r>
            <w:r>
              <w:rPr>
                <w:rFonts w:hint="eastAsia" w:ascii="仿宋" w:cs="仿宋"/>
                <w:color w:val="000000"/>
                <w:szCs w:val="24"/>
                <w:lang w:val="en-US" w:eastAsia="zh-CN"/>
              </w:rPr>
              <w:t>类</w:t>
            </w:r>
            <w:r>
              <w:rPr>
                <w:rFonts w:hint="eastAsia" w:ascii="仿宋" w:eastAsia="仿宋" w:cs="仿宋"/>
                <w:color w:val="000000"/>
                <w:szCs w:val="24"/>
              </w:rPr>
              <w:t>违法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2"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2</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案件名称</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left"/>
              <w:rPr>
                <w:rFonts w:hint="default" w:ascii="仿宋" w:eastAsia="仿宋" w:cs="仿宋"/>
                <w:color w:val="000000"/>
                <w:szCs w:val="24"/>
                <w:lang w:val="en-US" w:eastAsia="zh-CN"/>
              </w:rPr>
            </w:pPr>
            <w:r>
              <w:rPr>
                <w:rFonts w:hint="eastAsia" w:ascii="仿宋" w:eastAsia="仿宋" w:cs="仿宋"/>
                <w:color w:val="000000"/>
                <w:szCs w:val="24"/>
              </w:rPr>
              <w:t>中石油渭南煤层气管输有限责任公司变更法定代表人后未按规定履行《危险化学品经营许可证》变更手续</w:t>
            </w:r>
            <w:r>
              <w:rPr>
                <w:rFonts w:hint="eastAsia" w:ascii="仿宋" w:cs="仿宋"/>
                <w:color w:val="000000"/>
                <w:szCs w:val="24"/>
                <w:lang w:val="en-US" w:eastAsia="zh-CN"/>
              </w:rPr>
              <w:t>案</w:t>
            </w:r>
            <w:r>
              <w:rPr>
                <w:rFonts w:hint="eastAsia" w:ascii="仿宋" w:cs="仿宋"/>
                <w:color w:val="000000"/>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3</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做出处罚决定机关名称</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陕西省应急管理厅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4</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处罚决定书文号</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lang w:eastAsia="zh-CN"/>
              </w:rPr>
            </w:pPr>
            <w:r>
              <w:rPr>
                <w:rFonts w:hint="eastAsia" w:ascii="仿宋" w:eastAsia="仿宋" w:cs="仿宋"/>
                <w:color w:val="000000"/>
                <w:szCs w:val="24"/>
                <w:lang w:eastAsia="zh-CN"/>
              </w:rPr>
              <w:t>（陕）应急罚〔20</w:t>
            </w:r>
            <w:r>
              <w:rPr>
                <w:rFonts w:hint="eastAsia" w:ascii="仿宋" w:cs="仿宋"/>
                <w:color w:val="000000"/>
                <w:szCs w:val="24"/>
                <w:lang w:val="en-US" w:eastAsia="zh-CN"/>
              </w:rPr>
              <w:t>19</w:t>
            </w:r>
            <w:r>
              <w:rPr>
                <w:rFonts w:hint="eastAsia" w:ascii="仿宋" w:eastAsia="仿宋" w:cs="仿宋"/>
                <w:color w:val="000000"/>
                <w:szCs w:val="24"/>
                <w:lang w:eastAsia="zh-CN"/>
              </w:rPr>
              <w:t>〕WH0</w:t>
            </w:r>
            <w:r>
              <w:rPr>
                <w:rFonts w:hint="eastAsia" w:ascii="仿宋" w:cs="仿宋"/>
                <w:color w:val="000000"/>
                <w:szCs w:val="24"/>
                <w:lang w:val="en-US" w:eastAsia="zh-CN"/>
              </w:rPr>
              <w:t>02</w:t>
            </w:r>
            <w:r>
              <w:rPr>
                <w:rFonts w:hint="eastAsia" w:ascii="仿宋" w:eastAsia="仿宋" w:cs="仿宋"/>
                <w:color w:val="000000"/>
                <w:szCs w:val="24"/>
                <w:lang w:eastAsia="zh-CN"/>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5</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做出处罚决定日期</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20</w:t>
            </w:r>
            <w:r>
              <w:rPr>
                <w:rFonts w:hint="eastAsia" w:ascii="仿宋" w:cs="仿宋"/>
                <w:color w:val="000000"/>
                <w:szCs w:val="24"/>
                <w:lang w:val="en-US" w:eastAsia="zh-CN"/>
              </w:rPr>
              <w:t>19</w:t>
            </w:r>
            <w:r>
              <w:rPr>
                <w:rFonts w:hint="eastAsia" w:ascii="仿宋" w:eastAsia="仿宋" w:cs="仿宋"/>
                <w:color w:val="000000"/>
                <w:szCs w:val="24"/>
              </w:rPr>
              <w:t>年</w:t>
            </w:r>
            <w:r>
              <w:rPr>
                <w:rFonts w:hint="eastAsia" w:ascii="仿宋" w:cs="仿宋"/>
                <w:color w:val="000000"/>
                <w:szCs w:val="24"/>
                <w:lang w:val="en-US" w:eastAsia="zh-CN"/>
              </w:rPr>
              <w:t>10</w:t>
            </w:r>
            <w:r>
              <w:rPr>
                <w:rFonts w:hint="eastAsia" w:ascii="仿宋" w:eastAsia="仿宋" w:cs="仿宋"/>
                <w:color w:val="000000"/>
                <w:szCs w:val="24"/>
              </w:rPr>
              <w:t>月</w:t>
            </w:r>
            <w:r>
              <w:rPr>
                <w:rFonts w:hint="eastAsia" w:ascii="仿宋" w:cs="仿宋"/>
                <w:color w:val="000000"/>
                <w:szCs w:val="24"/>
                <w:lang w:val="en-US" w:eastAsia="zh-CN"/>
              </w:rPr>
              <w:t>12</w:t>
            </w:r>
            <w:r>
              <w:rPr>
                <w:rFonts w:hint="eastAsia" w:ascii="仿宋" w:eastAsia="仿宋" w:cs="仿宋"/>
                <w:color w:val="000000"/>
                <w:szCs w:val="24"/>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6</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被处罚行政相对人名称</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中石油渭南煤层气管输有限责任公司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7</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被处罚行政相对人地址</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lang w:eastAsia="zh-CN"/>
              </w:rPr>
            </w:pPr>
            <w:r>
              <w:rPr>
                <w:rFonts w:hint="eastAsia" w:ascii="仿宋" w:eastAsia="仿宋" w:cs="仿宋"/>
                <w:color w:val="000000"/>
                <w:szCs w:val="24"/>
                <w:lang w:eastAsia="zh-CN"/>
              </w:rPr>
              <w:t xml:space="preserve"> 渭南市经济技术开发区辛市镇侯槐路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8</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被处罚行政相对人</w:t>
            </w:r>
          </w:p>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法定代表人姓名</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ascii="仿宋" w:eastAsia="仿宋" w:cs="仿宋"/>
                <w:color w:val="000000"/>
                <w:szCs w:val="24"/>
                <w:lang w:val="en-US" w:eastAsia="zh-CN"/>
              </w:rPr>
            </w:pPr>
            <w:r>
              <w:rPr>
                <w:rFonts w:hint="eastAsia" w:ascii="仿宋" w:eastAsia="仿宋" w:cs="仿宋"/>
                <w:color w:val="000000"/>
                <w:szCs w:val="24"/>
                <w:lang w:val="en-US" w:eastAsia="zh-CN"/>
              </w:rPr>
              <w:t>杨灵雨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9</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被处罚行政相对人统一社会信用代码或身份证号码</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ascii="仿宋" w:eastAsia="仿宋" w:cs="仿宋"/>
                <w:color w:val="000000"/>
                <w:szCs w:val="24"/>
                <w:lang w:val="en-US" w:eastAsia="zh-CN"/>
              </w:rPr>
            </w:pPr>
            <w:r>
              <w:rPr>
                <w:rFonts w:hint="eastAsia" w:ascii="仿宋" w:eastAsia="仿宋" w:cs="仿宋"/>
                <w:color w:val="000000"/>
                <w:szCs w:val="24"/>
                <w:lang w:val="en-US" w:eastAsia="zh-CN"/>
              </w:rPr>
              <w:t>916105005593928503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6"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10</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违法事实</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both"/>
              <w:rPr>
                <w:rFonts w:hint="eastAsia" w:ascii="仿宋" w:eastAsia="仿宋" w:cs="仿宋"/>
                <w:color w:val="000000"/>
                <w:szCs w:val="24"/>
                <w:lang w:eastAsia="zh-CN"/>
              </w:rPr>
            </w:pPr>
            <w:r>
              <w:rPr>
                <w:rFonts w:hint="eastAsia" w:ascii="仿宋" w:eastAsia="仿宋" w:cs="仿宋"/>
                <w:color w:val="000000"/>
                <w:szCs w:val="24"/>
              </w:rPr>
              <w:t>2018年9月4日将法定代表人由蒿亮变更为杨灵雨，未自变更之日起20个工作日内向发证机关提出书面变更《危险化学品经营许可证》申请</w:t>
            </w:r>
            <w:r>
              <w:rPr>
                <w:rFonts w:hint="eastAsia" w:ascii="仿宋" w:cs="仿宋"/>
                <w:color w:val="000000"/>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8"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11</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违法依据</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both"/>
              <w:rPr>
                <w:rFonts w:hint="eastAsia" w:ascii="仿宋" w:eastAsia="仿宋" w:cs="仿宋"/>
                <w:color w:val="000000"/>
                <w:szCs w:val="24"/>
                <w:lang w:eastAsia="zh-CN"/>
              </w:rPr>
            </w:pPr>
            <w:r>
              <w:rPr>
                <w:rFonts w:hint="eastAsia" w:ascii="仿宋" w:eastAsia="仿宋" w:cs="仿宋"/>
                <w:color w:val="000000"/>
                <w:szCs w:val="24"/>
                <w:lang w:eastAsia="zh-CN"/>
              </w:rPr>
              <w:t>《危险化学品经营许可证管理办法》第十四条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3"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12</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处罚依据</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both"/>
              <w:rPr>
                <w:rFonts w:hint="eastAsia" w:ascii="仿宋" w:eastAsia="仿宋" w:cs="仿宋"/>
                <w:color w:val="000000"/>
                <w:szCs w:val="24"/>
                <w:lang w:eastAsia="zh-CN"/>
              </w:rPr>
            </w:pPr>
            <w:r>
              <w:rPr>
                <w:rFonts w:hint="eastAsia" w:ascii="仿宋" w:eastAsia="仿宋" w:cs="仿宋"/>
                <w:color w:val="000000"/>
                <w:szCs w:val="24"/>
                <w:lang w:eastAsia="zh-CN"/>
              </w:rPr>
              <w:t>《危险化学品经营许可证管理办法》第三十三条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jc w:val="center"/>
        </w:trPr>
        <w:tc>
          <w:tcPr>
            <w:tcW w:w="697" w:type="dxa"/>
            <w:tcBorders>
              <w:top w:val="nil"/>
              <w:left w:val="single" w:color="333333" w:sz="6" w:space="0"/>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13</w:t>
            </w:r>
          </w:p>
        </w:tc>
        <w:tc>
          <w:tcPr>
            <w:tcW w:w="2784" w:type="dxa"/>
            <w:tcBorders>
              <w:top w:val="nil"/>
              <w:left w:val="nil"/>
              <w:bottom w:val="single" w:color="333333" w:sz="6" w:space="0"/>
              <w:right w:val="single" w:color="333333"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eastAsia="仿宋" w:cs="仿宋"/>
                <w:color w:val="000000"/>
                <w:szCs w:val="24"/>
              </w:rPr>
              <w:t>处罚结果</w:t>
            </w:r>
          </w:p>
        </w:tc>
        <w:tc>
          <w:tcPr>
            <w:tcW w:w="5689" w:type="dxa"/>
            <w:tcBorders>
              <w:top w:val="nil"/>
              <w:left w:val="nil"/>
              <w:bottom w:val="single" w:color="333333" w:sz="6" w:space="0"/>
              <w:right w:val="single" w:color="auto" w:sz="6" w:space="0"/>
            </w:tcBorders>
            <w:noWrap/>
            <w:tcMar>
              <w:top w:w="28" w:type="dxa"/>
              <w:left w:w="28" w:type="dxa"/>
              <w:bottom w:w="28" w:type="dxa"/>
              <w:right w:w="28" w:type="dxa"/>
            </w:tcMar>
            <w:vAlign w:val="center"/>
          </w:tcPr>
          <w:p>
            <w:pPr>
              <w:pStyle w:val="4"/>
              <w:widowControl/>
              <w:spacing w:before="0" w:beforeAutospacing="0" w:after="0" w:afterAutospacing="0" w:line="0" w:lineRule="atLeast"/>
              <w:jc w:val="center"/>
              <w:rPr>
                <w:rFonts w:hint="eastAsia" w:ascii="仿宋" w:eastAsia="仿宋" w:cs="仿宋"/>
                <w:color w:val="000000"/>
                <w:szCs w:val="24"/>
              </w:rPr>
            </w:pPr>
            <w:r>
              <w:rPr>
                <w:rFonts w:hint="eastAsia" w:ascii="仿宋" w:cs="仿宋"/>
                <w:color w:val="000000"/>
                <w:szCs w:val="24"/>
                <w:lang w:val="en-US" w:eastAsia="zh-CN"/>
              </w:rPr>
              <w:t>处</w:t>
            </w:r>
            <w:r>
              <w:rPr>
                <w:rFonts w:hint="eastAsia" w:ascii="仿宋" w:eastAsia="仿宋" w:cs="仿宋"/>
                <w:color w:val="000000"/>
                <w:szCs w:val="24"/>
                <w:lang w:val="en-US" w:eastAsia="zh-CN"/>
              </w:rPr>
              <w:t>人民币玖仟元</w:t>
            </w:r>
            <w:r>
              <w:rPr>
                <w:rFonts w:hint="eastAsia" w:ascii="仿宋" w:cs="仿宋"/>
                <w:color w:val="000000"/>
                <w:szCs w:val="24"/>
                <w:lang w:val="en-US" w:eastAsia="zh-CN"/>
              </w:rPr>
              <w:t>罚款</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1A2B0F37"/>
    <w:rsid w:val="640D0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仿宋" w:cs="Arial"/>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Char"/>
    <w:basedOn w:val="1"/>
    <w:next w:val="1"/>
    <w:qFormat/>
    <w:uiPriority w:val="0"/>
    <w:rPr>
      <w:rFonts w:ascii="Times New Roman" w:hAnsi="Times New Roman" w:eastAsia="宋体" w:cs="Times New Roman"/>
      <w:sz w:val="32"/>
      <w:szCs w:val="22"/>
      <w:lang w:bidi="ar-SA"/>
    </w:rPr>
  </w:style>
  <w:style w:type="paragraph" w:styleId="3">
    <w:name w:val="Body Text"/>
    <w:basedOn w:val="1"/>
    <w:qFormat/>
    <w:uiPriority w:val="0"/>
    <w:pPr>
      <w:spacing w:after="120"/>
    </w:p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 w:type="character" w:styleId="7">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2023-01-09T00:55:00Z</dcterms:created>
  <dc:creator>Administrator</dc:creator>
  <cp:lastModifiedBy>安之若素i</cp:lastModifiedBy>
  <dcterms:modified xsi:type="dcterms:W3CDTF">2023-02-03T08:33:26Z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7887FE58DE7F4C169741D394B36236F6</vt:lpwstr>
  </property>
</Properties>
</file>