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outlineLvl w:val="0"/>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附件：</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442" w:firstLineChars="100"/>
        <w:jc w:val="center"/>
        <w:textAlignment w:val="auto"/>
        <w:outlineLvl w:val="0"/>
        <w:rPr>
          <w:sz w:val="44"/>
          <w:szCs w:val="44"/>
        </w:rPr>
      </w:pPr>
      <w:bookmarkStart w:id="0" w:name="_GoBack"/>
      <w:r>
        <w:rPr>
          <w:sz w:val="44"/>
          <w:szCs w:val="44"/>
        </w:rPr>
        <w:t>陕西省应急管理厅</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442" w:firstLineChars="100"/>
        <w:jc w:val="center"/>
        <w:textAlignment w:val="auto"/>
        <w:outlineLvl w:val="0"/>
        <w:rPr>
          <w:rFonts w:hint="eastAsia"/>
          <w:sz w:val="44"/>
          <w:szCs w:val="44"/>
          <w:lang w:eastAsia="zh-CN"/>
        </w:rPr>
      </w:pPr>
      <w:r>
        <w:rPr>
          <w:sz w:val="44"/>
          <w:szCs w:val="44"/>
        </w:rPr>
        <w:t>202</w:t>
      </w:r>
      <w:r>
        <w:rPr>
          <w:rFonts w:hint="eastAsia"/>
          <w:sz w:val="44"/>
          <w:szCs w:val="44"/>
          <w:lang w:val="en-US" w:eastAsia="zh-CN"/>
        </w:rPr>
        <w:t>3</w:t>
      </w:r>
      <w:r>
        <w:rPr>
          <w:sz w:val="44"/>
          <w:szCs w:val="44"/>
        </w:rPr>
        <w:t>年度“双随机</w:t>
      </w:r>
      <w:r>
        <w:rPr>
          <w:rFonts w:hint="eastAsia"/>
          <w:sz w:val="44"/>
          <w:szCs w:val="44"/>
          <w:lang w:eastAsia="zh-CN"/>
        </w:rPr>
        <w:t>、</w:t>
      </w:r>
      <w:r>
        <w:rPr>
          <w:sz w:val="44"/>
          <w:szCs w:val="44"/>
        </w:rPr>
        <w:t>一公开”执法</w:t>
      </w:r>
      <w:r>
        <w:rPr>
          <w:rFonts w:hint="eastAsia"/>
          <w:sz w:val="44"/>
          <w:szCs w:val="44"/>
          <w:lang w:eastAsia="zh-CN"/>
        </w:rPr>
        <w:t>检查</w:t>
      </w:r>
      <w:r>
        <w:rPr>
          <w:sz w:val="44"/>
          <w:szCs w:val="44"/>
        </w:rPr>
        <w:t>结果</w:t>
      </w:r>
      <w:r>
        <w:rPr>
          <w:rFonts w:hint="eastAsia"/>
          <w:sz w:val="44"/>
          <w:szCs w:val="44"/>
          <w:lang w:eastAsia="zh-CN"/>
        </w:rPr>
        <w:t>公示</w:t>
      </w:r>
      <w:bookmarkEnd w:id="0"/>
    </w:p>
    <w:p>
      <w:pPr>
        <w:rPr>
          <w:rFonts w:hint="eastAsia"/>
          <w:lang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3062"/>
        <w:gridCol w:w="1313"/>
        <w:gridCol w:w="6900"/>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vAlign w:val="center"/>
          </w:tcPr>
          <w:p>
            <w:pPr>
              <w:jc w:val="center"/>
              <w:rPr>
                <w:rFonts w:hint="eastAsia"/>
                <w:color w:val="000000" w:themeColor="text1"/>
                <w:sz w:val="28"/>
                <w:szCs w:val="28"/>
                <w:vertAlign w:val="baseline"/>
                <w:lang w:val="en-US" w:eastAsia="zh-CN"/>
                <w14:textFill>
                  <w14:solidFill>
                    <w14:schemeClr w14:val="tx1"/>
                  </w14:solidFill>
                </w14:textFill>
              </w:rPr>
            </w:pPr>
            <w:r>
              <w:rPr>
                <w:rFonts w:ascii="宋体" w:hAnsi="宋体" w:eastAsia="宋体" w:cs="宋体"/>
                <w:b/>
                <w:bCs/>
                <w:kern w:val="0"/>
                <w:sz w:val="24"/>
                <w:szCs w:val="24"/>
                <w:lang w:val="en-US" w:eastAsia="zh-CN" w:bidi="ar"/>
              </w:rPr>
              <w:t>序号</w:t>
            </w:r>
          </w:p>
        </w:tc>
        <w:tc>
          <w:tcPr>
            <w:tcW w:w="3062" w:type="dxa"/>
            <w:vAlign w:val="center"/>
          </w:tcPr>
          <w:p>
            <w:pPr>
              <w:jc w:val="center"/>
              <w:rPr>
                <w:rFonts w:hint="eastAsia"/>
                <w:color w:val="000000" w:themeColor="text1"/>
                <w:sz w:val="28"/>
                <w:szCs w:val="28"/>
                <w:vertAlign w:val="baseline"/>
                <w:lang w:val="en-US" w:eastAsia="zh-CN"/>
                <w14:textFill>
                  <w14:solidFill>
                    <w14:schemeClr w14:val="tx1"/>
                  </w14:solidFill>
                </w14:textFill>
              </w:rPr>
            </w:pPr>
            <w:r>
              <w:rPr>
                <w:rFonts w:ascii="宋体" w:hAnsi="宋体" w:eastAsia="宋体" w:cs="宋体"/>
                <w:b/>
                <w:bCs/>
                <w:kern w:val="0"/>
                <w:sz w:val="24"/>
                <w:szCs w:val="24"/>
                <w:lang w:val="en-US" w:eastAsia="zh-CN" w:bidi="ar"/>
              </w:rPr>
              <w:t>企业名称</w:t>
            </w:r>
          </w:p>
        </w:tc>
        <w:tc>
          <w:tcPr>
            <w:tcW w:w="1313" w:type="dxa"/>
            <w:vAlign w:val="center"/>
          </w:tcPr>
          <w:p>
            <w:pPr>
              <w:jc w:val="center"/>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执法</w:t>
            </w:r>
          </w:p>
          <w:p>
            <w:pPr>
              <w:jc w:val="center"/>
              <w:rPr>
                <w:rFonts w:hint="eastAsia"/>
                <w:color w:val="000000" w:themeColor="text1"/>
                <w:sz w:val="28"/>
                <w:szCs w:val="28"/>
                <w:vertAlign w:val="baseline"/>
                <w:lang w:val="en-US" w:eastAsia="zh-CN"/>
                <w14:textFill>
                  <w14:solidFill>
                    <w14:schemeClr w14:val="tx1"/>
                  </w14:solidFill>
                </w14:textFill>
              </w:rPr>
            </w:pPr>
            <w:r>
              <w:rPr>
                <w:rFonts w:ascii="宋体" w:hAnsi="宋体" w:eastAsia="宋体" w:cs="宋体"/>
                <w:b/>
                <w:bCs/>
                <w:kern w:val="0"/>
                <w:sz w:val="24"/>
                <w:szCs w:val="24"/>
                <w:lang w:val="en-US" w:eastAsia="zh-CN" w:bidi="ar"/>
              </w:rPr>
              <w:t>人员</w:t>
            </w:r>
          </w:p>
        </w:tc>
        <w:tc>
          <w:tcPr>
            <w:tcW w:w="6900" w:type="dxa"/>
            <w:vAlign w:val="center"/>
          </w:tcPr>
          <w:p>
            <w:pPr>
              <w:jc w:val="center"/>
              <w:rPr>
                <w:rFonts w:hint="eastAsia"/>
                <w:color w:val="000000" w:themeColor="text1"/>
                <w:sz w:val="28"/>
                <w:szCs w:val="28"/>
                <w:vertAlign w:val="baseline"/>
                <w:lang w:val="en-US" w:eastAsia="zh-CN"/>
                <w14:textFill>
                  <w14:solidFill>
                    <w14:schemeClr w14:val="tx1"/>
                  </w14:solidFill>
                </w14:textFill>
              </w:rPr>
            </w:pPr>
            <w:r>
              <w:rPr>
                <w:rFonts w:ascii="宋体" w:hAnsi="宋体" w:eastAsia="宋体" w:cs="宋体"/>
                <w:b/>
                <w:bCs/>
                <w:kern w:val="0"/>
                <w:sz w:val="24"/>
                <w:szCs w:val="24"/>
                <w:lang w:val="en-US" w:eastAsia="zh-CN" w:bidi="ar"/>
              </w:rPr>
              <w:t>发现</w:t>
            </w:r>
            <w:r>
              <w:rPr>
                <w:rFonts w:hint="eastAsia" w:ascii="宋体" w:hAnsi="宋体" w:eastAsia="宋体" w:cs="宋体"/>
                <w:b/>
                <w:bCs/>
                <w:kern w:val="0"/>
                <w:sz w:val="24"/>
                <w:szCs w:val="24"/>
                <w:lang w:val="en-US" w:eastAsia="zh-CN" w:bidi="ar"/>
              </w:rPr>
              <w:t>的安全事故隐患或违法违规行为</w:t>
            </w:r>
          </w:p>
        </w:tc>
        <w:tc>
          <w:tcPr>
            <w:tcW w:w="1929"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隐患是否</w:t>
            </w:r>
            <w:r>
              <w:rPr>
                <w:rFonts w:ascii="宋体" w:hAnsi="宋体" w:eastAsia="宋体" w:cs="宋体"/>
                <w:b/>
                <w:bCs/>
                <w:kern w:val="0"/>
                <w:sz w:val="24"/>
                <w:szCs w:val="24"/>
                <w:lang w:val="en-US" w:eastAsia="zh-CN" w:bidi="ar"/>
              </w:rPr>
              <w:t>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改</w:t>
            </w:r>
            <w:r>
              <w:rPr>
                <w:rFonts w:hint="eastAsia" w:ascii="宋体" w:hAnsi="宋体" w:eastAsia="宋体" w:cs="宋体"/>
                <w:b/>
                <w:bCs/>
                <w:kern w:val="0"/>
                <w:sz w:val="24"/>
                <w:szCs w:val="24"/>
                <w:lang w:val="en-US" w:eastAsia="zh-CN" w:bidi="ar"/>
              </w:rPr>
              <w:t>到位</w:t>
            </w:r>
            <w:r>
              <w:rPr>
                <w:rFonts w:ascii="宋体" w:hAnsi="宋体" w:eastAsia="宋体" w:cs="宋体"/>
                <w:b/>
                <w:bCs/>
                <w:kern w:val="0"/>
                <w:sz w:val="24"/>
                <w:szCs w:val="24"/>
                <w:lang w:val="en-US" w:eastAsia="zh-CN" w:bidi="ar"/>
              </w:rPr>
              <w:t>或行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000000" w:themeColor="text1"/>
                <w:sz w:val="28"/>
                <w:szCs w:val="28"/>
                <w:vertAlign w:val="baseline"/>
                <w:lang w:val="en-US" w:eastAsia="zh-CN"/>
                <w14:textFill>
                  <w14:solidFill>
                    <w14:schemeClr w14:val="tx1"/>
                  </w14:solidFill>
                </w14:textFill>
              </w:rPr>
            </w:pPr>
            <w:r>
              <w:rPr>
                <w:rFonts w:ascii="宋体" w:hAnsi="宋体" w:eastAsia="宋体" w:cs="宋体"/>
                <w:b/>
                <w:bCs/>
                <w:kern w:val="0"/>
                <w:sz w:val="24"/>
                <w:szCs w:val="24"/>
                <w:lang w:val="en-US" w:eastAsia="zh-CN" w:bidi="ar"/>
              </w:rPr>
              <w:t>政处罚</w:t>
            </w:r>
            <w:r>
              <w:rPr>
                <w:rFonts w:hint="eastAsia" w:ascii="宋体" w:hAnsi="宋体" w:eastAsia="宋体" w:cs="宋体"/>
                <w:b/>
                <w:bCs/>
                <w:kern w:val="0"/>
                <w:sz w:val="24"/>
                <w:szCs w:val="24"/>
                <w:lang w:val="en-US" w:eastAsia="zh-CN" w:bidi="ar"/>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vAlign w:val="center"/>
          </w:tcPr>
          <w:p>
            <w:pPr>
              <w:pStyle w:val="2"/>
              <w:ind w:left="0" w:leftChars="0" w:firstLine="0" w:firstLineChars="0"/>
              <w:jc w:val="center"/>
              <w:rPr>
                <w:rFonts w:hint="default"/>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kern w:val="2"/>
                <w:sz w:val="24"/>
                <w:szCs w:val="24"/>
                <w:vertAlign w:val="baseline"/>
                <w:lang w:val="en-US" w:eastAsia="zh-CN" w:bidi="ar-SA"/>
              </w:rPr>
              <w:t>1</w:t>
            </w:r>
          </w:p>
        </w:tc>
        <w:tc>
          <w:tcPr>
            <w:tcW w:w="30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陕西投资集团有限公司</w:t>
            </w:r>
          </w:p>
        </w:tc>
        <w:tc>
          <w:tcPr>
            <w:tcW w:w="1313" w:type="dxa"/>
            <w:vAlign w:val="center"/>
          </w:tcPr>
          <w:p>
            <w:pPr>
              <w:jc w:val="center"/>
              <w:rPr>
                <w:rFonts w:hint="eastAsia"/>
                <w:sz w:val="24"/>
                <w:szCs w:val="24"/>
                <w:vertAlign w:val="baseline"/>
                <w:lang w:eastAsia="zh-CN"/>
              </w:rPr>
            </w:pPr>
            <w:r>
              <w:rPr>
                <w:rFonts w:hint="eastAsia"/>
                <w:sz w:val="24"/>
                <w:szCs w:val="24"/>
                <w:vertAlign w:val="baseline"/>
                <w:lang w:eastAsia="zh-CN"/>
              </w:rPr>
              <w:t>任平利</w:t>
            </w:r>
          </w:p>
          <w:p>
            <w:pPr>
              <w:jc w:val="center"/>
              <w:rPr>
                <w:rFonts w:hint="eastAsia"/>
                <w:sz w:val="24"/>
                <w:szCs w:val="24"/>
                <w:vertAlign w:val="baseline"/>
                <w:lang w:eastAsia="zh-CN"/>
              </w:rPr>
            </w:pPr>
            <w:r>
              <w:rPr>
                <w:rFonts w:hint="eastAsia"/>
                <w:sz w:val="24"/>
                <w:szCs w:val="24"/>
                <w:vertAlign w:val="baseline"/>
                <w:lang w:eastAsia="zh-CN"/>
              </w:rPr>
              <w:t>王</w:t>
            </w:r>
            <w:r>
              <w:rPr>
                <w:rFonts w:hint="eastAsia"/>
                <w:sz w:val="24"/>
                <w:szCs w:val="24"/>
                <w:vertAlign w:val="baseline"/>
                <w:lang w:val="en-US" w:eastAsia="zh-CN"/>
              </w:rPr>
              <w:t xml:space="preserve">  </w:t>
            </w:r>
            <w:r>
              <w:rPr>
                <w:rFonts w:hint="eastAsia"/>
                <w:sz w:val="24"/>
                <w:szCs w:val="24"/>
                <w:vertAlign w:val="baseline"/>
                <w:lang w:eastAsia="zh-CN"/>
              </w:rPr>
              <w:t>磊</w:t>
            </w:r>
          </w:p>
          <w:p>
            <w:pPr>
              <w:jc w:val="center"/>
              <w:rPr>
                <w:rFonts w:hint="eastAsia"/>
                <w:color w:val="000000" w:themeColor="text1"/>
                <w:sz w:val="28"/>
                <w:szCs w:val="28"/>
                <w:vertAlign w:val="baseline"/>
                <w:lang w:val="en-US" w:eastAsia="zh-CN"/>
                <w14:textFill>
                  <w14:solidFill>
                    <w14:schemeClr w14:val="tx1"/>
                  </w14:solidFill>
                </w14:textFill>
              </w:rPr>
            </w:pPr>
          </w:p>
        </w:tc>
        <w:tc>
          <w:tcPr>
            <w:tcW w:w="6900"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lang w:val="en-US" w:eastAsia="zh-CN"/>
              </w:rPr>
              <w:t>煤矿安全生产三年行动治本攻坚方案中任务、措施不明确。</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 公司未建立汲取事故教训和事故防范制度。</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lang w:val="en-US" w:eastAsia="zh-CN"/>
              </w:rPr>
              <w:t>. 公司层面落实《关于开展安全管理六项规定和防灭火细则对标落实专项检查》文件要求，无具体安排。</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lang w:val="en-US" w:eastAsia="zh-CN"/>
              </w:rPr>
              <w:t>. 公司煤矿安全管理人员配备不到位，各专业人员配备不足。</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lang w:val="en-US" w:eastAsia="zh-CN"/>
              </w:rPr>
              <w:t>. 安全生产费用提取台账记录不规范，内容不具体。</w:t>
            </w:r>
          </w:p>
        </w:tc>
        <w:tc>
          <w:tcPr>
            <w:tcW w:w="1929" w:type="dxa"/>
            <w:vAlign w:val="center"/>
          </w:tcPr>
          <w:p>
            <w:pPr>
              <w:jc w:val="center"/>
              <w:rPr>
                <w:rFonts w:hint="eastAsia"/>
                <w:color w:val="000000" w:themeColor="text1"/>
                <w:sz w:val="28"/>
                <w:szCs w:val="28"/>
                <w:vertAlign w:val="baseline"/>
                <w:lang w:val="en-US" w:eastAsia="zh-CN"/>
                <w14:textFill>
                  <w14:solidFill>
                    <w14:schemeClr w14:val="tx1"/>
                  </w14:solidFill>
                </w14:textFill>
              </w:rPr>
            </w:pPr>
            <w:r>
              <w:rPr>
                <w:rFonts w:hint="eastAsia"/>
                <w:sz w:val="24"/>
                <w:szCs w:val="24"/>
                <w:vertAlign w:val="baseline"/>
                <w:lang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vAlign w:val="center"/>
          </w:tcPr>
          <w:p>
            <w:pPr>
              <w:pStyle w:val="2"/>
              <w:ind w:left="0" w:leftChars="0" w:firstLine="0" w:firstLineChars="0"/>
              <w:jc w:val="center"/>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kern w:val="2"/>
                <w:sz w:val="24"/>
                <w:szCs w:val="24"/>
                <w:vertAlign w:val="baseline"/>
                <w:lang w:val="en-US" w:eastAsia="zh-CN" w:bidi="ar-SA"/>
              </w:rPr>
              <w:t>2</w:t>
            </w:r>
          </w:p>
        </w:tc>
        <w:tc>
          <w:tcPr>
            <w:tcW w:w="30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山东能源集团西北矿业有限公司</w:t>
            </w:r>
          </w:p>
        </w:tc>
        <w:tc>
          <w:tcPr>
            <w:tcW w:w="1313" w:type="dxa"/>
            <w:vAlign w:val="center"/>
          </w:tcPr>
          <w:p>
            <w:pPr>
              <w:jc w:val="center"/>
              <w:rPr>
                <w:rFonts w:hint="eastAsia"/>
                <w:lang w:val="en-US" w:eastAsia="zh-CN"/>
              </w:rPr>
            </w:pPr>
            <w:r>
              <w:rPr>
                <w:rFonts w:hint="eastAsia"/>
                <w:lang w:val="en-US" w:eastAsia="zh-CN"/>
              </w:rPr>
              <w:t>李任选</w:t>
            </w:r>
          </w:p>
          <w:p>
            <w:pPr>
              <w:jc w:val="center"/>
              <w:rPr>
                <w:rFonts w:hint="eastAsia"/>
                <w:lang w:val="en-US" w:eastAsia="zh-CN"/>
              </w:rPr>
            </w:pPr>
            <w:r>
              <w:rPr>
                <w:rFonts w:hint="eastAsia"/>
                <w:lang w:val="en-US" w:eastAsia="zh-CN"/>
              </w:rPr>
              <w:t>王  磊</w:t>
            </w:r>
          </w:p>
          <w:p>
            <w:pPr>
              <w:pStyle w:val="2"/>
              <w:rPr>
                <w:rFonts w:hint="eastAsia"/>
                <w:lang w:val="en-US" w:eastAsia="zh-CN"/>
              </w:rPr>
            </w:pPr>
          </w:p>
          <w:p>
            <w:pPr>
              <w:pStyle w:val="3"/>
              <w:rPr>
                <w:rFonts w:hint="eastAsia"/>
                <w:lang w:val="en-US" w:eastAsia="zh-CN"/>
              </w:rPr>
            </w:pPr>
          </w:p>
        </w:tc>
        <w:tc>
          <w:tcPr>
            <w:tcW w:w="6900"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vertAlign w:val="baseline"/>
                <w:lang w:val="en-US" w:eastAsia="zh-CN"/>
              </w:rPr>
            </w:pPr>
          </w:p>
        </w:tc>
        <w:tc>
          <w:tcPr>
            <w:tcW w:w="1929" w:type="dxa"/>
            <w:vAlign w:val="center"/>
          </w:tcPr>
          <w:p>
            <w:pPr>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vAlign w:val="center"/>
          </w:tcPr>
          <w:p>
            <w:pPr>
              <w:jc w:val="center"/>
              <w:rPr>
                <w:rFonts w:hint="default"/>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sz w:val="24"/>
                <w:szCs w:val="24"/>
                <w:vertAlign w:val="baseline"/>
                <w:lang w:val="en-US" w:eastAsia="zh-CN"/>
              </w:rPr>
              <w:t>3</w:t>
            </w:r>
          </w:p>
        </w:tc>
        <w:tc>
          <w:tcPr>
            <w:tcW w:w="30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sz w:val="24"/>
                <w:szCs w:val="24"/>
                <w:vertAlign w:val="baseline"/>
                <w:lang w:eastAsia="zh-CN"/>
              </w:rPr>
              <w:t>华能煤业有限公司陕西矿业分公司</w:t>
            </w:r>
          </w:p>
        </w:tc>
        <w:tc>
          <w:tcPr>
            <w:tcW w:w="1313" w:type="dxa"/>
            <w:vAlign w:val="top"/>
          </w:tcPr>
          <w:p>
            <w:pPr>
              <w:jc w:val="center"/>
              <w:rPr>
                <w:rFonts w:hint="eastAsia" w:asciiTheme="minorEastAsia" w:hAnsi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张</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eastAsia="zh-CN"/>
              </w:rPr>
              <w:t>华</w:t>
            </w:r>
          </w:p>
          <w:p>
            <w:pPr>
              <w:jc w:val="center"/>
              <w:rPr>
                <w:rFonts w:hint="eastAsia" w:asciiTheme="minorEastAsia" w:hAnsi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权万才</w:t>
            </w:r>
          </w:p>
          <w:p>
            <w:pPr>
              <w:pStyle w:val="3"/>
              <w:rPr>
                <w:rFonts w:hint="eastAsia"/>
                <w:lang w:eastAsia="zh-CN"/>
              </w:rPr>
            </w:pPr>
          </w:p>
          <w:p>
            <w:pPr>
              <w:pStyle w:val="3"/>
              <w:ind w:left="1680" w:leftChars="0"/>
              <w:rPr>
                <w:rFonts w:hint="eastAsia"/>
                <w:color w:val="000000" w:themeColor="text1"/>
                <w:sz w:val="28"/>
                <w:szCs w:val="28"/>
                <w:vertAlign w:val="baseline"/>
                <w:lang w:val="en-US" w:eastAsia="zh-CN"/>
                <w14:textFill>
                  <w14:solidFill>
                    <w14:schemeClr w14:val="tx1"/>
                  </w14:solidFill>
                </w14:textFill>
              </w:rPr>
            </w:pPr>
          </w:p>
        </w:tc>
        <w:tc>
          <w:tcPr>
            <w:tcW w:w="6900"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lang w:val="en-US" w:eastAsia="zh-CN"/>
              </w:rPr>
              <w:t>未开展督查检</w:t>
            </w:r>
            <w:r>
              <w:rPr>
                <w:rFonts w:hint="eastAsia" w:asciiTheme="minorEastAsia" w:hAnsiTheme="minorEastAsia" w:cstheme="minorEastAsia"/>
                <w:sz w:val="24"/>
                <w:szCs w:val="24"/>
                <w:vertAlign w:val="baseline"/>
                <w:lang w:val="en-US" w:eastAsia="zh-CN"/>
              </w:rPr>
              <w:t>所属</w:t>
            </w:r>
            <w:r>
              <w:rPr>
                <w:rFonts w:hint="eastAsia" w:asciiTheme="minorEastAsia" w:hAnsiTheme="minorEastAsia" w:eastAsiaTheme="minorEastAsia" w:cstheme="minorEastAsia"/>
                <w:sz w:val="24"/>
                <w:szCs w:val="24"/>
                <w:vertAlign w:val="baseline"/>
                <w:lang w:val="en-US" w:eastAsia="zh-CN"/>
              </w:rPr>
              <w:t>煤矿重大灾害治理顶层设计方案措施落实查。</w:t>
            </w:r>
            <w:r>
              <w:rPr>
                <w:rFonts w:hint="eastAsia" w:asciiTheme="minorEastAsia" w:hAnsiTheme="minorEastAsia" w:eastAsia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lang w:val="en-US" w:eastAsia="zh-CN"/>
              </w:rPr>
              <w:t>.重要时间节点</w:t>
            </w:r>
            <w:r>
              <w:rPr>
                <w:rFonts w:hint="eastAsia" w:asciiTheme="minorEastAsia" w:hAnsiTheme="minorEastAsia" w:cstheme="minorEastAsia"/>
                <w:sz w:val="24"/>
                <w:szCs w:val="24"/>
                <w:vertAlign w:val="baseline"/>
                <w:lang w:val="en-US" w:eastAsia="zh-CN"/>
              </w:rPr>
              <w:t>安全生产工作</w:t>
            </w:r>
            <w:r>
              <w:rPr>
                <w:rFonts w:hint="eastAsia" w:asciiTheme="minorEastAsia" w:hAnsiTheme="minorEastAsia" w:eastAsiaTheme="minorEastAsia" w:cstheme="minorEastAsia"/>
                <w:sz w:val="24"/>
                <w:szCs w:val="24"/>
                <w:vertAlign w:val="baseline"/>
                <w:lang w:val="en-US" w:eastAsia="zh-CN"/>
              </w:rPr>
              <w:t>无具体安排部署。全国两会、清明期间无具体安排和落实措施。</w:t>
            </w:r>
            <w:r>
              <w:rPr>
                <w:rFonts w:hint="eastAsia" w:asciiTheme="minorEastAsia" w:hAnsiTheme="minorEastAsia" w:eastAsia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lang w:val="en-US" w:eastAsia="zh-CN"/>
              </w:rPr>
              <w:t>.公司月度安全会无安全生产存在问题及相关事项研究。</w:t>
            </w:r>
            <w:r>
              <w:rPr>
                <w:rFonts w:hint="eastAsia" w:asciiTheme="minorEastAsia" w:hAnsiTheme="minorEastAsia" w:eastAsia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lang w:val="en-US" w:eastAsia="zh-CN"/>
              </w:rPr>
              <w:t>.公司层面</w:t>
            </w:r>
            <w:r>
              <w:rPr>
                <w:rFonts w:hint="eastAsia" w:asciiTheme="minorEastAsia" w:hAnsiTheme="minorEastAsia" w:cstheme="minorEastAsia"/>
                <w:sz w:val="24"/>
                <w:szCs w:val="24"/>
                <w:vertAlign w:val="baseline"/>
                <w:lang w:val="en-US" w:eastAsia="zh-CN"/>
              </w:rPr>
              <w:t>无</w:t>
            </w:r>
            <w:r>
              <w:rPr>
                <w:rFonts w:hint="eastAsia" w:asciiTheme="minorEastAsia" w:hAnsiTheme="minorEastAsia" w:eastAsiaTheme="minorEastAsia" w:cstheme="minorEastAsia"/>
                <w:sz w:val="24"/>
                <w:szCs w:val="24"/>
                <w:vertAlign w:val="baseline"/>
                <w:lang w:val="en-US" w:eastAsia="zh-CN"/>
              </w:rPr>
              <w:t>风险研判管控机制。</w:t>
            </w:r>
            <w:r>
              <w:rPr>
                <w:rFonts w:hint="eastAsia" w:asciiTheme="minorEastAsia" w:hAnsiTheme="minorEastAsia" w:eastAsia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lang w:val="en-US" w:eastAsia="zh-CN"/>
              </w:rPr>
              <w:t>.三年行动治本攻坚方案部分问题描述不具体</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“两个清单”问题不具体，措施针对性不强。</w:t>
            </w:r>
            <w:r>
              <w:rPr>
                <w:rFonts w:hint="eastAsia" w:asciiTheme="minorEastAsia" w:hAnsiTheme="minorEastAsia" w:eastAsia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lang w:val="en-US" w:eastAsia="zh-CN"/>
              </w:rPr>
              <w:t>.公司无安全生产事故隐患排查治理季度、年度统计分析报告。</w:t>
            </w:r>
            <w:r>
              <w:rPr>
                <w:rFonts w:hint="eastAsia" w:asciiTheme="minorEastAsia" w:hAnsiTheme="minorEastAsia" w:eastAsia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lang w:val="en-US" w:eastAsia="zh-CN"/>
              </w:rPr>
              <w:t>.应急救援演练制度落实有差距，2021年到2022年4月未开展应急救援演练和现场处置方案演练。</w:t>
            </w:r>
          </w:p>
        </w:tc>
        <w:tc>
          <w:tcPr>
            <w:tcW w:w="1929" w:type="dxa"/>
            <w:vAlign w:val="center"/>
          </w:tcPr>
          <w:p>
            <w:pPr>
              <w:jc w:val="center"/>
              <w:rPr>
                <w:rFonts w:hint="eastAsia"/>
                <w:color w:val="000000" w:themeColor="text1"/>
                <w:sz w:val="28"/>
                <w:szCs w:val="28"/>
                <w:vertAlign w:val="baseline"/>
                <w:lang w:val="en-US" w:eastAsia="zh-CN"/>
                <w14:textFill>
                  <w14:solidFill>
                    <w14:schemeClr w14:val="tx1"/>
                  </w14:solidFill>
                </w14:textFill>
              </w:rPr>
            </w:pPr>
            <w:r>
              <w:rPr>
                <w:rFonts w:hint="eastAsia"/>
                <w:sz w:val="24"/>
                <w:szCs w:val="24"/>
                <w:vertAlign w:val="baseline"/>
                <w:lang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vAlign w:val="center"/>
          </w:tcPr>
          <w:p>
            <w:pPr>
              <w:jc w:val="center"/>
              <w:rPr>
                <w:rFonts w:hint="default"/>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sz w:val="24"/>
                <w:szCs w:val="24"/>
                <w:vertAlign w:val="baseline"/>
                <w:lang w:val="en-US" w:eastAsia="zh-CN"/>
              </w:rPr>
              <w:t>4</w:t>
            </w:r>
          </w:p>
        </w:tc>
        <w:tc>
          <w:tcPr>
            <w:tcW w:w="3062" w:type="dxa"/>
            <w:vAlign w:val="center"/>
          </w:tcPr>
          <w:p>
            <w:pPr>
              <w:jc w:val="center"/>
              <w:rPr>
                <w:rFonts w:hint="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sz w:val="24"/>
                <w:szCs w:val="24"/>
                <w:vertAlign w:val="baseline"/>
                <w:lang w:eastAsia="zh-CN"/>
              </w:rPr>
              <w:t>陕西煤业化工集团有限责任公司</w:t>
            </w:r>
          </w:p>
        </w:tc>
        <w:tc>
          <w:tcPr>
            <w:tcW w:w="1313" w:type="dxa"/>
            <w:vAlign w:val="center"/>
          </w:tcPr>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权万才</w:t>
            </w:r>
          </w:p>
          <w:p>
            <w:pPr>
              <w:jc w:val="center"/>
              <w:rPr>
                <w:rFonts w:hint="default"/>
                <w:lang w:val="en-US" w:eastAsia="zh-CN"/>
              </w:rPr>
            </w:pPr>
            <w:r>
              <w:rPr>
                <w:rFonts w:hint="eastAsia" w:asciiTheme="minorEastAsia" w:hAnsiTheme="minorEastAsia" w:cstheme="minorEastAsia"/>
                <w:sz w:val="24"/>
                <w:szCs w:val="24"/>
                <w:vertAlign w:val="baseline"/>
                <w:lang w:val="en-US" w:eastAsia="zh-CN"/>
              </w:rPr>
              <w:t>任平利</w:t>
            </w:r>
          </w:p>
          <w:p>
            <w:pPr>
              <w:jc w:val="center"/>
              <w:rPr>
                <w:rFonts w:hint="eastAsia"/>
                <w:color w:val="000000" w:themeColor="text1"/>
                <w:sz w:val="28"/>
                <w:szCs w:val="28"/>
                <w:vertAlign w:val="baseline"/>
                <w:lang w:val="en-US" w:eastAsia="zh-CN"/>
                <w14:textFill>
                  <w14:solidFill>
                    <w14:schemeClr w14:val="tx1"/>
                  </w14:solidFill>
                </w14:textFill>
              </w:rPr>
            </w:pPr>
          </w:p>
        </w:tc>
        <w:tc>
          <w:tcPr>
            <w:tcW w:w="690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 xml:space="preserve">1.未按照陕安委办《关于开展煤矿安全“六项标准规定”及防灭火细则对标落实专项检查的通知》要求，对直管煤矿自查情况开展梳理排查。
                                                                                                          </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 xml:space="preserve">2.煤业股份公司没有建立直管煤矿隐蔽致灾因素普查信息档案。                                                                                                           </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 xml:space="preserve">3.煤业股份公司未按要求与保供煤矿签订安全生产责任书和安全承诺书。                                                                                                          </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 xml:space="preserve">4. 派驻榆林安全管理机构力量应加强，未落实每月安全检查和半年安全质量标准化检查。
                                                                                                          </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sz w:val="24"/>
                <w:szCs w:val="24"/>
                <w:vertAlign w:val="baseline"/>
                <w:lang w:val="en-US" w:eastAsia="zh-CN"/>
              </w:rPr>
              <w:t xml:space="preserve">5. 一季度公司安全办公会无会议记录。
                                                                                                                                                                                    </w:t>
            </w:r>
          </w:p>
        </w:tc>
        <w:tc>
          <w:tcPr>
            <w:tcW w:w="1929" w:type="dxa"/>
            <w:vAlign w:val="center"/>
          </w:tcPr>
          <w:p>
            <w:pPr>
              <w:jc w:val="center"/>
              <w:rPr>
                <w:rFonts w:hint="eastAsia"/>
                <w:color w:val="000000" w:themeColor="text1"/>
                <w:sz w:val="28"/>
                <w:szCs w:val="28"/>
                <w:vertAlign w:val="baseline"/>
                <w:lang w:val="en-US" w:eastAsia="zh-CN"/>
                <w14:textFill>
                  <w14:solidFill>
                    <w14:schemeClr w14:val="tx1"/>
                  </w14:solidFill>
                </w14:textFill>
              </w:rPr>
            </w:pPr>
            <w:r>
              <w:rPr>
                <w:rFonts w:hint="eastAsia"/>
                <w:sz w:val="24"/>
                <w:szCs w:val="24"/>
                <w:vertAlign w:val="baseline"/>
                <w:lang w:eastAsia="zh-CN"/>
              </w:rPr>
              <w:t>已整改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654879CD"/>
    <w:rsid w:val="02D4653B"/>
    <w:rsid w:val="11101DC5"/>
    <w:rsid w:val="16B3762F"/>
    <w:rsid w:val="1A2B0F37"/>
    <w:rsid w:val="1B2051AF"/>
    <w:rsid w:val="3C991809"/>
    <w:rsid w:val="3F44357F"/>
    <w:rsid w:val="3FB1329C"/>
    <w:rsid w:val="56842029"/>
    <w:rsid w:val="654879CD"/>
    <w:rsid w:val="67974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index 5"/>
    <w:next w:val="1"/>
    <w:qFormat/>
    <w:uiPriority w:val="0"/>
    <w:pPr>
      <w:widowControl w:val="0"/>
      <w:ind w:left="1680"/>
      <w:jc w:val="both"/>
    </w:pPr>
    <w:rPr>
      <w:rFonts w:ascii="Times New Roman" w:hAnsi="Times New Roman" w:eastAsia="宋体" w:cs="Times New Roman"/>
      <w:kern w:val="2"/>
      <w:sz w:val="21"/>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2023-10-24T08:54:00Z</dcterms:created>
  <dc:creator>安之若素i</dc:creator>
  <cp:lastModifiedBy>安之若素i</cp:lastModifiedBy>
  <dcterms:modified xsi:type="dcterms:W3CDTF">2023-10-24T08:56:18Z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00FDE3A6F3894C21897699C79E00A79E_11</vt:lpwstr>
  </property>
</Properties>
</file>