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63F" w:rsidRDefault="00B7463F" w:rsidP="00B7463F">
      <w:pPr>
        <w:pStyle w:val="1"/>
        <w:widowControl/>
        <w:spacing w:line="440" w:lineRule="exact"/>
        <w:rPr>
          <w:rFonts w:hint="default"/>
          <w:sz w:val="44"/>
          <w:szCs w:val="44"/>
        </w:rPr>
      </w:pPr>
      <w:r>
        <w:rPr>
          <w:rFonts w:ascii="方正黑体_GBK" w:eastAsia="方正黑体_GBK" w:hAnsi="方正黑体_GBK" w:cs="方正黑体_GBK"/>
          <w:b w:val="0"/>
          <w:bCs/>
          <w:sz w:val="32"/>
          <w:szCs w:val="32"/>
        </w:rPr>
        <w:t>附件：</w:t>
      </w:r>
    </w:p>
    <w:p w:rsidR="00B7463F" w:rsidRDefault="00B7463F" w:rsidP="00B7463F">
      <w:pPr>
        <w:pStyle w:val="1"/>
        <w:widowControl/>
        <w:spacing w:line="440" w:lineRule="exact"/>
        <w:ind w:firstLineChars="100" w:firstLine="442"/>
        <w:jc w:val="center"/>
        <w:rPr>
          <w:rFonts w:hint="default"/>
          <w:sz w:val="44"/>
          <w:szCs w:val="44"/>
        </w:rPr>
      </w:pPr>
      <w:r>
        <w:rPr>
          <w:sz w:val="44"/>
          <w:szCs w:val="44"/>
        </w:rPr>
        <w:t>2023年度“双随机、一公开”执法检查结果公示</w:t>
      </w:r>
    </w:p>
    <w:tbl>
      <w:tblPr>
        <w:tblStyle w:val="a6"/>
        <w:tblpPr w:leftFromText="180" w:rightFromText="180" w:vertAnchor="text" w:horzAnchor="page" w:tblpX="1427" w:tblpY="292"/>
        <w:tblOverlap w:val="never"/>
        <w:tblW w:w="14683" w:type="dxa"/>
        <w:tblLook w:val="04A0" w:firstRow="1" w:lastRow="0" w:firstColumn="1" w:lastColumn="0" w:noHBand="0" w:noVBand="1"/>
      </w:tblPr>
      <w:tblGrid>
        <w:gridCol w:w="933"/>
        <w:gridCol w:w="2877"/>
        <w:gridCol w:w="2106"/>
        <w:gridCol w:w="7092"/>
        <w:gridCol w:w="1675"/>
      </w:tblGrid>
      <w:tr w:rsidR="00B7463F" w:rsidTr="004C5CEF">
        <w:tc>
          <w:tcPr>
            <w:tcW w:w="933" w:type="dxa"/>
            <w:vAlign w:val="center"/>
          </w:tcPr>
          <w:p w:rsidR="00B7463F" w:rsidRDefault="00B7463F" w:rsidP="004C5CEF">
            <w:pPr>
              <w:jc w:val="center"/>
              <w:rPr>
                <w:color w:val="000000" w:themeColor="text1"/>
                <w:sz w:val="28"/>
                <w:szCs w:val="28"/>
              </w:rPr>
            </w:pPr>
            <w:r>
              <w:rPr>
                <w:rFonts w:ascii="宋体" w:eastAsia="宋体" w:hAnsi="宋体" w:cs="宋体"/>
                <w:b/>
                <w:bCs/>
                <w:sz w:val="24"/>
                <w:lang w:bidi="ar"/>
              </w:rPr>
              <w:t>序号</w:t>
            </w:r>
          </w:p>
        </w:tc>
        <w:tc>
          <w:tcPr>
            <w:tcW w:w="2877" w:type="dxa"/>
            <w:vAlign w:val="center"/>
          </w:tcPr>
          <w:p w:rsidR="00B7463F" w:rsidRDefault="00B7463F" w:rsidP="004C5CEF">
            <w:pPr>
              <w:jc w:val="center"/>
              <w:rPr>
                <w:color w:val="000000" w:themeColor="text1"/>
                <w:sz w:val="28"/>
                <w:szCs w:val="28"/>
              </w:rPr>
            </w:pPr>
            <w:r>
              <w:rPr>
                <w:rFonts w:ascii="宋体" w:eastAsia="宋体" w:hAnsi="宋体" w:cs="宋体"/>
                <w:b/>
                <w:bCs/>
                <w:sz w:val="24"/>
                <w:lang w:bidi="ar"/>
              </w:rPr>
              <w:t>企业名称</w:t>
            </w:r>
          </w:p>
        </w:tc>
        <w:tc>
          <w:tcPr>
            <w:tcW w:w="2106" w:type="dxa"/>
            <w:vAlign w:val="center"/>
          </w:tcPr>
          <w:p w:rsidR="00B7463F" w:rsidRDefault="00B7463F" w:rsidP="004C5CEF">
            <w:pPr>
              <w:jc w:val="center"/>
              <w:rPr>
                <w:rFonts w:ascii="宋体" w:eastAsia="宋体" w:hAnsi="宋体" w:cs="宋体"/>
                <w:b/>
                <w:bCs/>
                <w:sz w:val="24"/>
                <w:lang w:bidi="ar"/>
              </w:rPr>
            </w:pPr>
            <w:r>
              <w:rPr>
                <w:rFonts w:ascii="宋体" w:eastAsia="宋体" w:hAnsi="宋体" w:cs="宋体"/>
                <w:b/>
                <w:bCs/>
                <w:sz w:val="24"/>
                <w:lang w:bidi="ar"/>
              </w:rPr>
              <w:t>执法</w:t>
            </w:r>
          </w:p>
          <w:p w:rsidR="00B7463F" w:rsidRDefault="00B7463F" w:rsidP="004C5CEF">
            <w:pPr>
              <w:jc w:val="center"/>
              <w:rPr>
                <w:color w:val="000000" w:themeColor="text1"/>
                <w:sz w:val="28"/>
                <w:szCs w:val="28"/>
              </w:rPr>
            </w:pPr>
            <w:r>
              <w:rPr>
                <w:rFonts w:ascii="宋体" w:eastAsia="宋体" w:hAnsi="宋体" w:cs="宋体"/>
                <w:b/>
                <w:bCs/>
                <w:sz w:val="24"/>
                <w:lang w:bidi="ar"/>
              </w:rPr>
              <w:t>人员</w:t>
            </w:r>
          </w:p>
        </w:tc>
        <w:tc>
          <w:tcPr>
            <w:tcW w:w="7092" w:type="dxa"/>
            <w:vAlign w:val="center"/>
          </w:tcPr>
          <w:p w:rsidR="00B7463F" w:rsidRDefault="00B7463F" w:rsidP="004C5CEF">
            <w:pPr>
              <w:jc w:val="center"/>
              <w:rPr>
                <w:color w:val="000000" w:themeColor="text1"/>
                <w:sz w:val="28"/>
                <w:szCs w:val="28"/>
              </w:rPr>
            </w:pPr>
            <w:r>
              <w:rPr>
                <w:rFonts w:ascii="宋体" w:eastAsia="宋体" w:hAnsi="宋体" w:cs="宋体"/>
                <w:b/>
                <w:bCs/>
                <w:sz w:val="24"/>
                <w:lang w:bidi="ar"/>
              </w:rPr>
              <w:t>发现</w:t>
            </w:r>
            <w:r>
              <w:rPr>
                <w:rFonts w:ascii="宋体" w:eastAsia="宋体" w:hAnsi="宋体" w:cs="宋体" w:hint="eastAsia"/>
                <w:b/>
                <w:bCs/>
                <w:sz w:val="24"/>
                <w:lang w:bidi="ar"/>
              </w:rPr>
              <w:t>的安全事故隐患或违法违规行为</w:t>
            </w:r>
          </w:p>
        </w:tc>
        <w:tc>
          <w:tcPr>
            <w:tcW w:w="1675" w:type="dxa"/>
            <w:vAlign w:val="center"/>
          </w:tcPr>
          <w:p w:rsidR="00B7463F" w:rsidRDefault="00B7463F" w:rsidP="004C5CEF">
            <w:pPr>
              <w:spacing w:line="400" w:lineRule="exact"/>
              <w:jc w:val="center"/>
              <w:rPr>
                <w:rFonts w:ascii="宋体" w:eastAsia="宋体" w:hAnsi="宋体" w:cs="宋体"/>
                <w:b/>
                <w:bCs/>
                <w:sz w:val="24"/>
                <w:lang w:bidi="ar"/>
              </w:rPr>
            </w:pPr>
            <w:r>
              <w:rPr>
                <w:rFonts w:ascii="宋体" w:eastAsia="宋体" w:hAnsi="宋体" w:cs="宋体" w:hint="eastAsia"/>
                <w:b/>
                <w:bCs/>
                <w:sz w:val="24"/>
                <w:lang w:bidi="ar"/>
              </w:rPr>
              <w:t>隐患是否</w:t>
            </w:r>
            <w:r>
              <w:rPr>
                <w:rFonts w:ascii="宋体" w:eastAsia="宋体" w:hAnsi="宋体" w:cs="宋体"/>
                <w:b/>
                <w:bCs/>
                <w:sz w:val="24"/>
                <w:lang w:bidi="ar"/>
              </w:rPr>
              <w:t>整</w:t>
            </w:r>
          </w:p>
          <w:p w:rsidR="00B7463F" w:rsidRDefault="00B7463F" w:rsidP="004C5CEF">
            <w:pPr>
              <w:spacing w:line="400" w:lineRule="exact"/>
              <w:jc w:val="center"/>
              <w:rPr>
                <w:rFonts w:ascii="宋体" w:eastAsia="宋体" w:hAnsi="宋体" w:cs="宋体"/>
                <w:b/>
                <w:bCs/>
                <w:sz w:val="24"/>
                <w:lang w:bidi="ar"/>
              </w:rPr>
            </w:pPr>
            <w:r>
              <w:rPr>
                <w:rFonts w:ascii="宋体" w:eastAsia="宋体" w:hAnsi="宋体" w:cs="宋体"/>
                <w:b/>
                <w:bCs/>
                <w:sz w:val="24"/>
                <w:lang w:bidi="ar"/>
              </w:rPr>
              <w:t>改</w:t>
            </w:r>
            <w:r>
              <w:rPr>
                <w:rFonts w:ascii="宋体" w:eastAsia="宋体" w:hAnsi="宋体" w:cs="宋体" w:hint="eastAsia"/>
                <w:b/>
                <w:bCs/>
                <w:sz w:val="24"/>
                <w:lang w:bidi="ar"/>
              </w:rPr>
              <w:t>到位</w:t>
            </w:r>
            <w:r>
              <w:rPr>
                <w:rFonts w:ascii="宋体" w:eastAsia="宋体" w:hAnsi="宋体" w:cs="宋体"/>
                <w:b/>
                <w:bCs/>
                <w:sz w:val="24"/>
                <w:lang w:bidi="ar"/>
              </w:rPr>
              <w:t>或行</w:t>
            </w:r>
          </w:p>
          <w:p w:rsidR="00B7463F" w:rsidRDefault="00B7463F" w:rsidP="004C5CEF">
            <w:pPr>
              <w:spacing w:line="400" w:lineRule="exact"/>
              <w:jc w:val="center"/>
              <w:rPr>
                <w:color w:val="000000" w:themeColor="text1"/>
                <w:sz w:val="28"/>
                <w:szCs w:val="28"/>
              </w:rPr>
            </w:pPr>
            <w:r>
              <w:rPr>
                <w:rFonts w:ascii="宋体" w:eastAsia="宋体" w:hAnsi="宋体" w:cs="宋体"/>
                <w:b/>
                <w:bCs/>
                <w:sz w:val="24"/>
                <w:lang w:bidi="ar"/>
              </w:rPr>
              <w:t>政处罚</w:t>
            </w:r>
            <w:r>
              <w:rPr>
                <w:rFonts w:ascii="宋体" w:eastAsia="宋体" w:hAnsi="宋体" w:cs="宋体" w:hint="eastAsia"/>
                <w:b/>
                <w:bCs/>
                <w:sz w:val="24"/>
                <w:lang w:bidi="ar"/>
              </w:rPr>
              <w:t>情况</w:t>
            </w:r>
          </w:p>
        </w:tc>
      </w:tr>
      <w:tr w:rsidR="00B7463F" w:rsidTr="004C5CEF">
        <w:trPr>
          <w:trHeight w:val="997"/>
        </w:trPr>
        <w:tc>
          <w:tcPr>
            <w:tcW w:w="933" w:type="dxa"/>
            <w:vAlign w:val="center"/>
          </w:tcPr>
          <w:p w:rsidR="00B7463F" w:rsidRDefault="00B7463F" w:rsidP="004C5CEF">
            <w:pPr>
              <w:pStyle w:val="a5"/>
              <w:ind w:firstLineChars="0" w:firstLine="0"/>
              <w:jc w:val="center"/>
              <w:rPr>
                <w:color w:val="000000" w:themeColor="text1"/>
                <w:sz w:val="28"/>
                <w:szCs w:val="28"/>
              </w:rPr>
            </w:pPr>
            <w:r>
              <w:rPr>
                <w:rFonts w:asciiTheme="minorEastAsia" w:hAnsiTheme="minorEastAsia" w:cstheme="minorEastAsia" w:hint="eastAsia"/>
                <w:kern w:val="2"/>
                <w:sz w:val="24"/>
              </w:rPr>
              <w:t>1</w:t>
            </w:r>
          </w:p>
        </w:tc>
        <w:tc>
          <w:tcPr>
            <w:tcW w:w="2877" w:type="dxa"/>
            <w:vAlign w:val="center"/>
          </w:tcPr>
          <w:p w:rsidR="00B7463F" w:rsidRDefault="00B7463F" w:rsidP="004C5CEF">
            <w:pPr>
              <w:jc w:val="center"/>
              <w:rPr>
                <w:sz w:val="24"/>
              </w:rPr>
            </w:pPr>
            <w:r>
              <w:rPr>
                <w:rFonts w:hint="eastAsia"/>
                <w:sz w:val="24"/>
              </w:rPr>
              <w:t>陕西有色金属控股集团有限责任公司（陕西铅碉山矿业有限公司）</w:t>
            </w:r>
          </w:p>
        </w:tc>
        <w:tc>
          <w:tcPr>
            <w:tcW w:w="2106" w:type="dxa"/>
            <w:vAlign w:val="center"/>
          </w:tcPr>
          <w:p w:rsidR="00B7463F" w:rsidRDefault="00B7463F" w:rsidP="004C5CEF">
            <w:pPr>
              <w:jc w:val="center"/>
              <w:rPr>
                <w:sz w:val="24"/>
              </w:rPr>
            </w:pPr>
            <w:r>
              <w:rPr>
                <w:rFonts w:hint="eastAsia"/>
                <w:sz w:val="24"/>
              </w:rPr>
              <w:t>芦永利</w:t>
            </w:r>
            <w:r>
              <w:rPr>
                <w:rFonts w:hint="eastAsia"/>
                <w:sz w:val="24"/>
              </w:rPr>
              <w:t xml:space="preserve"> </w:t>
            </w:r>
            <w:r>
              <w:rPr>
                <w:rFonts w:hint="eastAsia"/>
                <w:sz w:val="24"/>
              </w:rPr>
              <w:t>赵</w:t>
            </w:r>
            <w:r>
              <w:rPr>
                <w:rFonts w:hint="eastAsia"/>
                <w:sz w:val="24"/>
              </w:rPr>
              <w:t xml:space="preserve">  </w:t>
            </w:r>
            <w:r>
              <w:rPr>
                <w:rFonts w:hint="eastAsia"/>
                <w:sz w:val="24"/>
              </w:rPr>
              <w:t>健</w:t>
            </w:r>
          </w:p>
        </w:tc>
        <w:tc>
          <w:tcPr>
            <w:tcW w:w="7092" w:type="dxa"/>
            <w:vAlign w:val="center"/>
          </w:tcPr>
          <w:p w:rsidR="00B7463F" w:rsidRDefault="00B7463F" w:rsidP="004C5CEF">
            <w:pPr>
              <w:jc w:val="left"/>
              <w:rPr>
                <w:sz w:val="24"/>
              </w:rPr>
            </w:pPr>
            <w:r>
              <w:rPr>
                <w:rFonts w:hint="eastAsia"/>
                <w:sz w:val="24"/>
              </w:rPr>
              <w:t>1.1330</w:t>
            </w:r>
            <w:r>
              <w:rPr>
                <w:rFonts w:hint="eastAsia"/>
                <w:sz w:val="24"/>
              </w:rPr>
              <w:t>平酮口缺少避灾线路图及风险告知卡；</w:t>
            </w:r>
          </w:p>
          <w:p w:rsidR="00B7463F" w:rsidRDefault="00B7463F" w:rsidP="004C5CEF">
            <w:pPr>
              <w:jc w:val="left"/>
              <w:rPr>
                <w:sz w:val="24"/>
              </w:rPr>
            </w:pPr>
            <w:r>
              <w:rPr>
                <w:rFonts w:hint="eastAsia"/>
                <w:sz w:val="24"/>
              </w:rPr>
              <w:t>2.</w:t>
            </w:r>
            <w:r>
              <w:rPr>
                <w:rFonts w:hint="eastAsia"/>
                <w:sz w:val="24"/>
              </w:rPr>
              <w:t>三大系统未悬挂线路牌，警示标牌偏少；</w:t>
            </w:r>
          </w:p>
          <w:p w:rsidR="00B7463F" w:rsidRDefault="00B7463F" w:rsidP="004C5CEF">
            <w:pPr>
              <w:jc w:val="left"/>
              <w:rPr>
                <w:sz w:val="24"/>
              </w:rPr>
            </w:pPr>
            <w:r>
              <w:rPr>
                <w:rFonts w:hint="eastAsia"/>
                <w:sz w:val="24"/>
              </w:rPr>
              <w:t>3.</w:t>
            </w:r>
            <w:r>
              <w:rPr>
                <w:rFonts w:hint="eastAsia"/>
                <w:sz w:val="24"/>
              </w:rPr>
              <w:t>低压配电箱、计量室灭火器配备不足</w:t>
            </w:r>
            <w:r>
              <w:rPr>
                <w:rFonts w:hint="eastAsia"/>
                <w:sz w:val="24"/>
              </w:rPr>
              <w:t>;</w:t>
            </w:r>
          </w:p>
        </w:tc>
        <w:tc>
          <w:tcPr>
            <w:tcW w:w="1675" w:type="dxa"/>
            <w:vAlign w:val="center"/>
          </w:tcPr>
          <w:p w:rsidR="00B7463F" w:rsidRDefault="00B7463F" w:rsidP="004C5CEF">
            <w:pPr>
              <w:jc w:val="center"/>
              <w:rPr>
                <w:sz w:val="24"/>
              </w:rPr>
            </w:pPr>
            <w:r>
              <w:rPr>
                <w:rFonts w:hint="eastAsia"/>
                <w:sz w:val="24"/>
              </w:rPr>
              <w:t>已整改</w:t>
            </w:r>
          </w:p>
        </w:tc>
      </w:tr>
      <w:tr w:rsidR="00B7463F" w:rsidTr="004C5CEF">
        <w:trPr>
          <w:trHeight w:val="1035"/>
        </w:trPr>
        <w:tc>
          <w:tcPr>
            <w:tcW w:w="933" w:type="dxa"/>
            <w:vAlign w:val="center"/>
          </w:tcPr>
          <w:p w:rsidR="00B7463F" w:rsidRDefault="00B7463F" w:rsidP="004C5CEF">
            <w:pPr>
              <w:pStyle w:val="a5"/>
              <w:ind w:firstLineChars="0" w:firstLine="0"/>
              <w:jc w:val="center"/>
              <w:rPr>
                <w:rFonts w:asciiTheme="minorEastAsia" w:hAnsiTheme="minorEastAsia" w:cstheme="minorEastAsia"/>
                <w:sz w:val="24"/>
              </w:rPr>
            </w:pPr>
            <w:r>
              <w:rPr>
                <w:rFonts w:asciiTheme="minorEastAsia" w:hAnsiTheme="minorEastAsia" w:cstheme="minorEastAsia" w:hint="eastAsia"/>
                <w:kern w:val="2"/>
                <w:sz w:val="24"/>
              </w:rPr>
              <w:t>2</w:t>
            </w:r>
          </w:p>
        </w:tc>
        <w:tc>
          <w:tcPr>
            <w:tcW w:w="2877" w:type="dxa"/>
            <w:vAlign w:val="center"/>
          </w:tcPr>
          <w:p w:rsidR="00B7463F" w:rsidRDefault="00B7463F" w:rsidP="004C5CEF">
            <w:pPr>
              <w:jc w:val="center"/>
              <w:rPr>
                <w:sz w:val="24"/>
              </w:rPr>
            </w:pPr>
            <w:r>
              <w:rPr>
                <w:rFonts w:hint="eastAsia"/>
                <w:sz w:val="24"/>
              </w:rPr>
              <w:t>中国黄金股份有限公司在陕企业（潼关中金矿业有限责任公司）</w:t>
            </w:r>
          </w:p>
        </w:tc>
        <w:tc>
          <w:tcPr>
            <w:tcW w:w="2106" w:type="dxa"/>
            <w:vAlign w:val="center"/>
          </w:tcPr>
          <w:p w:rsidR="00B7463F" w:rsidRDefault="00B7463F" w:rsidP="004C5CEF">
            <w:pPr>
              <w:jc w:val="center"/>
              <w:rPr>
                <w:sz w:val="24"/>
              </w:rPr>
            </w:pPr>
            <w:r>
              <w:rPr>
                <w:rFonts w:hint="eastAsia"/>
                <w:sz w:val="24"/>
              </w:rPr>
              <w:t>芦永利</w:t>
            </w:r>
            <w:r>
              <w:rPr>
                <w:rFonts w:hint="eastAsia"/>
                <w:sz w:val="24"/>
              </w:rPr>
              <w:t xml:space="preserve"> </w:t>
            </w:r>
            <w:r>
              <w:rPr>
                <w:rFonts w:hint="eastAsia"/>
                <w:sz w:val="24"/>
              </w:rPr>
              <w:t>赵</w:t>
            </w:r>
            <w:r>
              <w:rPr>
                <w:rFonts w:hint="eastAsia"/>
                <w:sz w:val="24"/>
              </w:rPr>
              <w:t xml:space="preserve">  </w:t>
            </w:r>
            <w:r>
              <w:rPr>
                <w:rFonts w:hint="eastAsia"/>
                <w:sz w:val="24"/>
              </w:rPr>
              <w:t>健</w:t>
            </w:r>
          </w:p>
        </w:tc>
        <w:tc>
          <w:tcPr>
            <w:tcW w:w="7092" w:type="dxa"/>
            <w:vAlign w:val="center"/>
          </w:tcPr>
          <w:p w:rsidR="00B7463F" w:rsidRDefault="00B7463F" w:rsidP="004C5CEF">
            <w:pPr>
              <w:jc w:val="left"/>
              <w:rPr>
                <w:sz w:val="24"/>
              </w:rPr>
            </w:pPr>
            <w:r>
              <w:rPr>
                <w:rFonts w:hint="eastAsia"/>
                <w:sz w:val="24"/>
              </w:rPr>
              <w:t>1.</w:t>
            </w:r>
            <w:r>
              <w:rPr>
                <w:rFonts w:hint="eastAsia"/>
                <w:sz w:val="24"/>
              </w:rPr>
              <w:t>尾矿库两侧岸坡截排水沟未延伸到位；</w:t>
            </w:r>
          </w:p>
          <w:p w:rsidR="00B7463F" w:rsidRDefault="00B7463F" w:rsidP="004C5CEF">
            <w:pPr>
              <w:jc w:val="left"/>
            </w:pPr>
            <w:r>
              <w:rPr>
                <w:rFonts w:hint="eastAsia"/>
                <w:sz w:val="24"/>
              </w:rPr>
              <w:t>2.</w:t>
            </w:r>
            <w:r>
              <w:rPr>
                <w:rFonts w:hint="eastAsia"/>
                <w:sz w:val="24"/>
              </w:rPr>
              <w:t>放矿部位滩面高于坝顶放矿过程存在回流现象。</w:t>
            </w:r>
          </w:p>
        </w:tc>
        <w:tc>
          <w:tcPr>
            <w:tcW w:w="1675" w:type="dxa"/>
            <w:vAlign w:val="center"/>
          </w:tcPr>
          <w:p w:rsidR="00B7463F" w:rsidRDefault="00B7463F" w:rsidP="004C5CEF">
            <w:pPr>
              <w:jc w:val="center"/>
              <w:rPr>
                <w:sz w:val="24"/>
              </w:rPr>
            </w:pPr>
            <w:r>
              <w:rPr>
                <w:rFonts w:hint="eastAsia"/>
                <w:sz w:val="24"/>
              </w:rPr>
              <w:t>已整改</w:t>
            </w:r>
          </w:p>
        </w:tc>
      </w:tr>
      <w:tr w:rsidR="00B7463F" w:rsidTr="004C5CEF">
        <w:trPr>
          <w:trHeight w:val="935"/>
        </w:trPr>
        <w:tc>
          <w:tcPr>
            <w:tcW w:w="933" w:type="dxa"/>
            <w:vAlign w:val="center"/>
          </w:tcPr>
          <w:p w:rsidR="00B7463F" w:rsidRDefault="00B7463F" w:rsidP="004C5CEF">
            <w:pPr>
              <w:jc w:val="center"/>
              <w:rPr>
                <w:color w:val="000000" w:themeColor="text1"/>
                <w:sz w:val="28"/>
                <w:szCs w:val="28"/>
              </w:rPr>
            </w:pPr>
            <w:r>
              <w:rPr>
                <w:rFonts w:asciiTheme="minorEastAsia" w:hAnsiTheme="minorEastAsia" w:cstheme="minorEastAsia" w:hint="eastAsia"/>
                <w:sz w:val="24"/>
              </w:rPr>
              <w:t>3</w:t>
            </w:r>
          </w:p>
        </w:tc>
        <w:tc>
          <w:tcPr>
            <w:tcW w:w="2877" w:type="dxa"/>
            <w:vAlign w:val="center"/>
          </w:tcPr>
          <w:p w:rsidR="00B7463F" w:rsidRDefault="00B7463F" w:rsidP="004C5CEF">
            <w:pPr>
              <w:jc w:val="center"/>
              <w:rPr>
                <w:sz w:val="24"/>
              </w:rPr>
            </w:pPr>
            <w:r>
              <w:rPr>
                <w:rFonts w:hint="eastAsia"/>
                <w:sz w:val="24"/>
              </w:rPr>
              <w:t>陕西地矿集团有限公司（潼关县兴地矿业开发有限责任公司）</w:t>
            </w:r>
          </w:p>
        </w:tc>
        <w:tc>
          <w:tcPr>
            <w:tcW w:w="2106" w:type="dxa"/>
            <w:vAlign w:val="center"/>
          </w:tcPr>
          <w:p w:rsidR="00B7463F" w:rsidRDefault="00B7463F" w:rsidP="004C5CEF">
            <w:pPr>
              <w:jc w:val="center"/>
              <w:rPr>
                <w:sz w:val="24"/>
              </w:rPr>
            </w:pPr>
            <w:r>
              <w:rPr>
                <w:rFonts w:hint="eastAsia"/>
                <w:sz w:val="24"/>
              </w:rPr>
              <w:t>李远卫</w:t>
            </w:r>
            <w:r>
              <w:rPr>
                <w:rFonts w:hint="eastAsia"/>
                <w:sz w:val="24"/>
              </w:rPr>
              <w:t xml:space="preserve"> </w:t>
            </w:r>
            <w:r>
              <w:rPr>
                <w:rFonts w:hint="eastAsia"/>
                <w:sz w:val="24"/>
              </w:rPr>
              <w:t>牛</w:t>
            </w:r>
            <w:r>
              <w:rPr>
                <w:rFonts w:hint="eastAsia"/>
                <w:sz w:val="24"/>
              </w:rPr>
              <w:t xml:space="preserve">  </w:t>
            </w:r>
            <w:r>
              <w:rPr>
                <w:rFonts w:hint="eastAsia"/>
                <w:sz w:val="24"/>
              </w:rPr>
              <w:t>竞</w:t>
            </w:r>
          </w:p>
        </w:tc>
        <w:tc>
          <w:tcPr>
            <w:tcW w:w="7092" w:type="dxa"/>
            <w:vAlign w:val="center"/>
          </w:tcPr>
          <w:p w:rsidR="00B7463F" w:rsidRDefault="00B7463F" w:rsidP="004C5CEF">
            <w:pPr>
              <w:jc w:val="left"/>
              <w:rPr>
                <w:sz w:val="24"/>
              </w:rPr>
            </w:pPr>
            <w:r>
              <w:rPr>
                <w:rFonts w:hint="eastAsia"/>
                <w:sz w:val="24"/>
              </w:rPr>
              <w:t xml:space="preserve">1. </w:t>
            </w:r>
            <w:r>
              <w:rPr>
                <w:rFonts w:hint="eastAsia"/>
                <w:sz w:val="24"/>
              </w:rPr>
              <w:t>斜井“一坡三挡”安全设施不健全，未按规定设置常闭式防跑车装置和阻车器；违反《金属非金属矿山重大隐患判定标准》金属非金属地下矿山重大事故隐患第（二十二）条第</w:t>
            </w:r>
            <w:r>
              <w:rPr>
                <w:rFonts w:hint="eastAsia"/>
                <w:sz w:val="24"/>
              </w:rPr>
              <w:t>4</w:t>
            </w:r>
            <w:r>
              <w:rPr>
                <w:rFonts w:hint="eastAsia"/>
                <w:sz w:val="24"/>
              </w:rPr>
              <w:t>款；</w:t>
            </w:r>
          </w:p>
          <w:p w:rsidR="00B7463F" w:rsidRDefault="00B7463F" w:rsidP="004C5CEF">
            <w:pPr>
              <w:jc w:val="left"/>
              <w:rPr>
                <w:sz w:val="24"/>
              </w:rPr>
            </w:pPr>
            <w:r>
              <w:rPr>
                <w:rFonts w:hint="eastAsia"/>
                <w:sz w:val="24"/>
              </w:rPr>
              <w:t>2.</w:t>
            </w:r>
            <w:r>
              <w:rPr>
                <w:rFonts w:hint="eastAsia"/>
                <w:sz w:val="24"/>
              </w:rPr>
              <w:t>一中段应急出口堵塞，不具备应急出口安全要求。一中段采场没有第二安全出口；违反《金属非金属矿山重大隐患判定标准》金属非金属地下矿山重大事故隐患第（一）条第</w:t>
            </w:r>
            <w:r>
              <w:rPr>
                <w:rFonts w:hint="eastAsia"/>
                <w:sz w:val="24"/>
              </w:rPr>
              <w:t>4</w:t>
            </w:r>
            <w:r>
              <w:rPr>
                <w:rFonts w:hint="eastAsia"/>
                <w:sz w:val="24"/>
              </w:rPr>
              <w:t>款；</w:t>
            </w:r>
          </w:p>
          <w:p w:rsidR="00B7463F" w:rsidRDefault="00B7463F" w:rsidP="004C5CEF">
            <w:pPr>
              <w:jc w:val="left"/>
              <w:rPr>
                <w:sz w:val="24"/>
              </w:rPr>
            </w:pPr>
            <w:r>
              <w:rPr>
                <w:rFonts w:hint="eastAsia"/>
                <w:sz w:val="24"/>
              </w:rPr>
              <w:t>3.</w:t>
            </w:r>
            <w:r>
              <w:rPr>
                <w:rFonts w:hint="eastAsia"/>
                <w:sz w:val="24"/>
              </w:rPr>
              <w:t>地矿集团主管安全领导及安全环保部未按照省安委</w:t>
            </w:r>
            <w:r>
              <w:rPr>
                <w:rFonts w:hint="eastAsia"/>
                <w:sz w:val="24"/>
              </w:rPr>
              <w:t>[2023]8</w:t>
            </w:r>
            <w:r>
              <w:rPr>
                <w:rFonts w:hint="eastAsia"/>
                <w:sz w:val="24"/>
              </w:rPr>
              <w:t>号通知要求对潼关县兴地矿业开发有限公司善车峪</w:t>
            </w:r>
            <w:r>
              <w:rPr>
                <w:rFonts w:hint="eastAsia"/>
                <w:sz w:val="24"/>
              </w:rPr>
              <w:t>Q185</w:t>
            </w:r>
            <w:r>
              <w:rPr>
                <w:rFonts w:hint="eastAsia"/>
                <w:sz w:val="24"/>
              </w:rPr>
              <w:t>金矿脉安全生产情况进行督查；</w:t>
            </w:r>
          </w:p>
          <w:p w:rsidR="00B7463F" w:rsidRDefault="00B7463F" w:rsidP="004C5CEF">
            <w:pPr>
              <w:jc w:val="left"/>
              <w:rPr>
                <w:sz w:val="24"/>
              </w:rPr>
            </w:pPr>
            <w:r>
              <w:rPr>
                <w:rFonts w:hint="eastAsia"/>
                <w:sz w:val="24"/>
              </w:rPr>
              <w:t>4. Q185</w:t>
            </w:r>
            <w:r>
              <w:rPr>
                <w:rFonts w:hint="eastAsia"/>
                <w:sz w:val="24"/>
              </w:rPr>
              <w:t>项目部应急预案在新《安全生产法》颁发后未进行修订，</w:t>
            </w:r>
            <w:r>
              <w:rPr>
                <w:rFonts w:hint="eastAsia"/>
                <w:sz w:val="24"/>
              </w:rPr>
              <w:lastRenderedPageBreak/>
              <w:t>未制定现场处置方案；</w:t>
            </w:r>
          </w:p>
          <w:p w:rsidR="00B7463F" w:rsidRDefault="00B7463F" w:rsidP="004C5CEF">
            <w:pPr>
              <w:jc w:val="left"/>
              <w:rPr>
                <w:sz w:val="24"/>
              </w:rPr>
            </w:pPr>
            <w:r>
              <w:rPr>
                <w:rFonts w:hint="eastAsia"/>
                <w:sz w:val="24"/>
              </w:rPr>
              <w:t>5.</w:t>
            </w:r>
            <w:r>
              <w:rPr>
                <w:rFonts w:hint="eastAsia"/>
                <w:sz w:val="24"/>
              </w:rPr>
              <w:t>非煤矿山外包工程安全生产管理协议中人员配备与现场项目部人员名单不一致，未定期对项目部人员进行安全生产教育培训与考核，未对项目部进行安全生产检查；</w:t>
            </w:r>
          </w:p>
          <w:p w:rsidR="00B7463F" w:rsidRDefault="00B7463F" w:rsidP="004C5CEF">
            <w:pPr>
              <w:jc w:val="left"/>
              <w:rPr>
                <w:sz w:val="24"/>
              </w:rPr>
            </w:pPr>
            <w:r>
              <w:rPr>
                <w:rFonts w:hint="eastAsia"/>
                <w:sz w:val="24"/>
              </w:rPr>
              <w:t>6. Q185</w:t>
            </w:r>
            <w:r>
              <w:rPr>
                <w:rFonts w:hint="eastAsia"/>
                <w:sz w:val="24"/>
              </w:rPr>
              <w:t>项目部购买安全生产责任保险未全覆盖（项目副经理关加友，通风工张建刚，爆破工郭西奎未购买安责险）；</w:t>
            </w:r>
          </w:p>
          <w:p w:rsidR="00B7463F" w:rsidRDefault="00B7463F" w:rsidP="004C5CEF">
            <w:pPr>
              <w:jc w:val="left"/>
              <w:rPr>
                <w:sz w:val="24"/>
              </w:rPr>
            </w:pPr>
            <w:r>
              <w:rPr>
                <w:rFonts w:hint="eastAsia"/>
                <w:sz w:val="24"/>
              </w:rPr>
              <w:t>7. Q185</w:t>
            </w:r>
            <w:r>
              <w:rPr>
                <w:rFonts w:hint="eastAsia"/>
                <w:sz w:val="24"/>
              </w:rPr>
              <w:t>项目部未配备专业技术人员。</w:t>
            </w:r>
          </w:p>
        </w:tc>
        <w:tc>
          <w:tcPr>
            <w:tcW w:w="1675" w:type="dxa"/>
            <w:vAlign w:val="center"/>
          </w:tcPr>
          <w:p w:rsidR="00B7463F" w:rsidRDefault="00B7463F" w:rsidP="004C5CEF">
            <w:pPr>
              <w:jc w:val="center"/>
              <w:rPr>
                <w:sz w:val="24"/>
              </w:rPr>
            </w:pPr>
            <w:r>
              <w:rPr>
                <w:rFonts w:hint="eastAsia"/>
                <w:sz w:val="24"/>
              </w:rPr>
              <w:lastRenderedPageBreak/>
              <w:t>已责令停产整改，罚款</w:t>
            </w:r>
            <w:r>
              <w:rPr>
                <w:rFonts w:hint="eastAsia"/>
                <w:sz w:val="24"/>
              </w:rPr>
              <w:t>55</w:t>
            </w:r>
            <w:r>
              <w:rPr>
                <w:rFonts w:hint="eastAsia"/>
                <w:sz w:val="24"/>
              </w:rPr>
              <w:t>万元</w:t>
            </w:r>
          </w:p>
        </w:tc>
      </w:tr>
      <w:tr w:rsidR="00B7463F" w:rsidTr="004C5CEF">
        <w:tc>
          <w:tcPr>
            <w:tcW w:w="933" w:type="dxa"/>
            <w:vAlign w:val="center"/>
          </w:tcPr>
          <w:p w:rsidR="00B7463F" w:rsidRDefault="00B7463F" w:rsidP="004C5CEF">
            <w:pPr>
              <w:jc w:val="center"/>
              <w:rPr>
                <w:color w:val="000000" w:themeColor="text1"/>
                <w:sz w:val="28"/>
                <w:szCs w:val="28"/>
              </w:rPr>
            </w:pPr>
            <w:r>
              <w:rPr>
                <w:rFonts w:asciiTheme="minorEastAsia" w:hAnsiTheme="minorEastAsia" w:cstheme="minorEastAsia" w:hint="eastAsia"/>
                <w:sz w:val="24"/>
              </w:rPr>
              <w:lastRenderedPageBreak/>
              <w:t>4</w:t>
            </w:r>
          </w:p>
        </w:tc>
        <w:tc>
          <w:tcPr>
            <w:tcW w:w="2877" w:type="dxa"/>
            <w:vAlign w:val="center"/>
          </w:tcPr>
          <w:p w:rsidR="00B7463F" w:rsidRDefault="00B7463F" w:rsidP="004C5CEF">
            <w:pPr>
              <w:jc w:val="center"/>
              <w:rPr>
                <w:sz w:val="24"/>
              </w:rPr>
            </w:pPr>
            <w:r>
              <w:rPr>
                <w:rFonts w:hint="eastAsia"/>
                <w:sz w:val="24"/>
              </w:rPr>
              <w:t>尧柏特种水泥集团有限公司（陕西富平水泥有限公司）</w:t>
            </w:r>
          </w:p>
        </w:tc>
        <w:tc>
          <w:tcPr>
            <w:tcW w:w="2106" w:type="dxa"/>
            <w:vAlign w:val="center"/>
          </w:tcPr>
          <w:p w:rsidR="00B7463F" w:rsidRDefault="00B7463F" w:rsidP="004C5CEF">
            <w:pPr>
              <w:jc w:val="center"/>
              <w:rPr>
                <w:sz w:val="24"/>
              </w:rPr>
            </w:pPr>
            <w:r>
              <w:rPr>
                <w:rFonts w:hint="eastAsia"/>
                <w:sz w:val="24"/>
              </w:rPr>
              <w:t>李远卫</w:t>
            </w:r>
            <w:r>
              <w:rPr>
                <w:rFonts w:hint="eastAsia"/>
                <w:sz w:val="24"/>
              </w:rPr>
              <w:t xml:space="preserve"> </w:t>
            </w:r>
            <w:r>
              <w:rPr>
                <w:rFonts w:hint="eastAsia"/>
                <w:sz w:val="24"/>
              </w:rPr>
              <w:t>牛</w:t>
            </w:r>
            <w:r>
              <w:rPr>
                <w:rFonts w:hint="eastAsia"/>
                <w:sz w:val="24"/>
              </w:rPr>
              <w:t xml:space="preserve">  </w:t>
            </w:r>
            <w:r>
              <w:rPr>
                <w:rFonts w:hint="eastAsia"/>
                <w:sz w:val="24"/>
              </w:rPr>
              <w:t>竞</w:t>
            </w:r>
          </w:p>
        </w:tc>
        <w:tc>
          <w:tcPr>
            <w:tcW w:w="7092" w:type="dxa"/>
            <w:vAlign w:val="center"/>
          </w:tcPr>
          <w:p w:rsidR="00B7463F" w:rsidRDefault="00B7463F" w:rsidP="004C5CEF">
            <w:pPr>
              <w:jc w:val="left"/>
              <w:rPr>
                <w:sz w:val="24"/>
              </w:rPr>
            </w:pPr>
            <w:r>
              <w:rPr>
                <w:rFonts w:hint="eastAsia"/>
                <w:sz w:val="24"/>
              </w:rPr>
              <w:t>1</w:t>
            </w:r>
            <w:r>
              <w:rPr>
                <w:rFonts w:hint="eastAsia"/>
                <w:sz w:val="24"/>
              </w:rPr>
              <w:t>、皮带运输平硐人行道部分地段防滑措施不到位；</w:t>
            </w:r>
          </w:p>
          <w:p w:rsidR="00B7463F" w:rsidRDefault="00B7463F" w:rsidP="004C5CEF">
            <w:pPr>
              <w:jc w:val="left"/>
              <w:rPr>
                <w:sz w:val="24"/>
              </w:rPr>
            </w:pPr>
            <w:r>
              <w:rPr>
                <w:rFonts w:hint="eastAsia"/>
                <w:sz w:val="24"/>
              </w:rPr>
              <w:t>2</w:t>
            </w:r>
            <w:r>
              <w:rPr>
                <w:rFonts w:hint="eastAsia"/>
                <w:sz w:val="24"/>
              </w:rPr>
              <w:t>、破碎硐室应急出口积尘清理不及时，遇水泥泞影响人员通行；</w:t>
            </w:r>
          </w:p>
          <w:p w:rsidR="00B7463F" w:rsidRDefault="00B7463F" w:rsidP="004C5CEF">
            <w:pPr>
              <w:jc w:val="left"/>
              <w:rPr>
                <w:sz w:val="24"/>
              </w:rPr>
            </w:pPr>
            <w:r>
              <w:rPr>
                <w:rFonts w:hint="eastAsia"/>
                <w:sz w:val="24"/>
              </w:rPr>
              <w:t>3</w:t>
            </w:r>
            <w:r>
              <w:rPr>
                <w:rFonts w:hint="eastAsia"/>
                <w:sz w:val="24"/>
              </w:rPr>
              <w:t>、应急物资库内，部分药品过期未及时清理更新；</w:t>
            </w:r>
          </w:p>
          <w:p w:rsidR="00B7463F" w:rsidRDefault="00B7463F" w:rsidP="004C5CEF">
            <w:pPr>
              <w:jc w:val="left"/>
              <w:rPr>
                <w:sz w:val="24"/>
              </w:rPr>
            </w:pPr>
            <w:r>
              <w:rPr>
                <w:rFonts w:hint="eastAsia"/>
                <w:sz w:val="24"/>
              </w:rPr>
              <w:t>4</w:t>
            </w:r>
            <w:r>
              <w:rPr>
                <w:rFonts w:hint="eastAsia"/>
                <w:sz w:val="24"/>
              </w:rPr>
              <w:t>、</w:t>
            </w:r>
            <w:r>
              <w:rPr>
                <w:rFonts w:hint="eastAsia"/>
                <w:sz w:val="24"/>
              </w:rPr>
              <w:t>1025</w:t>
            </w:r>
            <w:r>
              <w:rPr>
                <w:rFonts w:hint="eastAsia"/>
                <w:sz w:val="24"/>
              </w:rPr>
              <w:t>平台</w:t>
            </w:r>
            <w:r>
              <w:rPr>
                <w:rFonts w:hint="eastAsia"/>
                <w:sz w:val="24"/>
              </w:rPr>
              <w:t>-1040</w:t>
            </w:r>
            <w:r>
              <w:rPr>
                <w:rFonts w:hint="eastAsia"/>
                <w:sz w:val="24"/>
              </w:rPr>
              <w:t>平台联络道路长度</w:t>
            </w:r>
            <w:r>
              <w:rPr>
                <w:rFonts w:hint="eastAsia"/>
                <w:sz w:val="24"/>
              </w:rPr>
              <w:t>140</w:t>
            </w:r>
            <w:r>
              <w:rPr>
                <w:rFonts w:hint="eastAsia"/>
                <w:sz w:val="24"/>
              </w:rPr>
              <w:t>米，坡度</w:t>
            </w:r>
            <w:r>
              <w:rPr>
                <w:rFonts w:hint="eastAsia"/>
                <w:sz w:val="24"/>
              </w:rPr>
              <w:t>10.7%</w:t>
            </w:r>
            <w:r>
              <w:rPr>
                <w:rFonts w:hint="eastAsia"/>
                <w:sz w:val="24"/>
              </w:rPr>
              <w:t>，大于设计要求。</w:t>
            </w:r>
          </w:p>
        </w:tc>
        <w:tc>
          <w:tcPr>
            <w:tcW w:w="1675" w:type="dxa"/>
            <w:vAlign w:val="center"/>
          </w:tcPr>
          <w:p w:rsidR="00B7463F" w:rsidRDefault="00B7463F" w:rsidP="004C5CEF">
            <w:pPr>
              <w:jc w:val="center"/>
              <w:rPr>
                <w:sz w:val="24"/>
              </w:rPr>
            </w:pPr>
            <w:r>
              <w:rPr>
                <w:rFonts w:hint="eastAsia"/>
                <w:sz w:val="24"/>
              </w:rPr>
              <w:t>已整改</w:t>
            </w:r>
          </w:p>
        </w:tc>
      </w:tr>
      <w:tr w:rsidR="00B7463F" w:rsidTr="004C5CEF">
        <w:tc>
          <w:tcPr>
            <w:tcW w:w="933" w:type="dxa"/>
            <w:vAlign w:val="center"/>
          </w:tcPr>
          <w:p w:rsidR="00B7463F" w:rsidRDefault="00B7463F" w:rsidP="004C5CEF">
            <w:pPr>
              <w:jc w:val="center"/>
              <w:rPr>
                <w:rFonts w:asciiTheme="minorEastAsia" w:hAnsiTheme="minorEastAsia" w:cstheme="minorEastAsia"/>
                <w:sz w:val="24"/>
              </w:rPr>
            </w:pPr>
            <w:r>
              <w:rPr>
                <w:rFonts w:asciiTheme="minorEastAsia" w:hAnsiTheme="minorEastAsia" w:cstheme="minorEastAsia" w:hint="eastAsia"/>
                <w:sz w:val="24"/>
              </w:rPr>
              <w:t>5</w:t>
            </w:r>
          </w:p>
        </w:tc>
        <w:tc>
          <w:tcPr>
            <w:tcW w:w="2877" w:type="dxa"/>
            <w:vAlign w:val="center"/>
          </w:tcPr>
          <w:p w:rsidR="00B7463F" w:rsidRDefault="00B7463F" w:rsidP="004C5CEF">
            <w:pPr>
              <w:jc w:val="center"/>
              <w:rPr>
                <w:sz w:val="24"/>
              </w:rPr>
            </w:pPr>
            <w:r>
              <w:rPr>
                <w:rFonts w:hint="eastAsia"/>
                <w:sz w:val="24"/>
              </w:rPr>
              <w:t>安徽海螺水泥股份有限公司陕甘区域陕西片区（礼泉海螺水泥有限责任公司）</w:t>
            </w:r>
          </w:p>
        </w:tc>
        <w:tc>
          <w:tcPr>
            <w:tcW w:w="2106" w:type="dxa"/>
            <w:vAlign w:val="center"/>
          </w:tcPr>
          <w:p w:rsidR="00B7463F" w:rsidRDefault="00B7463F" w:rsidP="004C5CEF">
            <w:pPr>
              <w:jc w:val="center"/>
              <w:rPr>
                <w:sz w:val="24"/>
              </w:rPr>
            </w:pPr>
            <w:r>
              <w:rPr>
                <w:rFonts w:hint="eastAsia"/>
                <w:sz w:val="24"/>
              </w:rPr>
              <w:t>李远卫</w:t>
            </w:r>
            <w:r>
              <w:rPr>
                <w:rFonts w:hint="eastAsia"/>
                <w:sz w:val="24"/>
              </w:rPr>
              <w:t xml:space="preserve"> </w:t>
            </w:r>
            <w:r>
              <w:rPr>
                <w:rFonts w:hint="eastAsia"/>
                <w:sz w:val="24"/>
              </w:rPr>
              <w:t>牛</w:t>
            </w:r>
            <w:r>
              <w:rPr>
                <w:rFonts w:hint="eastAsia"/>
                <w:sz w:val="24"/>
              </w:rPr>
              <w:t xml:space="preserve">  </w:t>
            </w:r>
            <w:r>
              <w:rPr>
                <w:rFonts w:hint="eastAsia"/>
                <w:sz w:val="24"/>
              </w:rPr>
              <w:t>竞</w:t>
            </w:r>
          </w:p>
        </w:tc>
        <w:tc>
          <w:tcPr>
            <w:tcW w:w="7092" w:type="dxa"/>
            <w:vAlign w:val="center"/>
          </w:tcPr>
          <w:p w:rsidR="00B7463F" w:rsidRDefault="00B7463F" w:rsidP="004C5CEF">
            <w:pPr>
              <w:jc w:val="left"/>
              <w:rPr>
                <w:sz w:val="24"/>
              </w:rPr>
            </w:pPr>
            <w:r>
              <w:rPr>
                <w:rFonts w:hint="eastAsia"/>
                <w:sz w:val="24"/>
              </w:rPr>
              <w:t>1.</w:t>
            </w:r>
            <w:r>
              <w:rPr>
                <w:rFonts w:hint="eastAsia"/>
                <w:sz w:val="24"/>
              </w:rPr>
              <w:t>西部坡面局部浮石未及时清理，且未在</w:t>
            </w:r>
            <w:r>
              <w:rPr>
                <w:rFonts w:hint="eastAsia"/>
                <w:sz w:val="24"/>
              </w:rPr>
              <w:t>1120</w:t>
            </w:r>
            <w:r>
              <w:rPr>
                <w:rFonts w:hint="eastAsia"/>
                <w:sz w:val="24"/>
              </w:rPr>
              <w:t>平台设置相关标识；</w:t>
            </w:r>
          </w:p>
          <w:p w:rsidR="00B7463F" w:rsidRDefault="00B7463F" w:rsidP="004C5CEF">
            <w:pPr>
              <w:jc w:val="left"/>
              <w:rPr>
                <w:sz w:val="24"/>
              </w:rPr>
            </w:pPr>
            <w:r>
              <w:rPr>
                <w:rFonts w:hint="eastAsia"/>
                <w:sz w:val="24"/>
              </w:rPr>
              <w:t>2.</w:t>
            </w:r>
            <w:r>
              <w:rPr>
                <w:rFonts w:hint="eastAsia"/>
                <w:sz w:val="24"/>
              </w:rPr>
              <w:t>公司重大事故隐患</w:t>
            </w:r>
            <w:r>
              <w:rPr>
                <w:rFonts w:hint="eastAsia"/>
                <w:sz w:val="24"/>
              </w:rPr>
              <w:t>2023</w:t>
            </w:r>
            <w:r>
              <w:rPr>
                <w:rFonts w:hint="eastAsia"/>
                <w:sz w:val="24"/>
              </w:rPr>
              <w:t>专项行动方案与中省要求不一致，减少主要负责人检查频次；</w:t>
            </w:r>
          </w:p>
          <w:p w:rsidR="00B7463F" w:rsidRDefault="00B7463F" w:rsidP="004C5CEF">
            <w:pPr>
              <w:jc w:val="left"/>
              <w:rPr>
                <w:sz w:val="24"/>
              </w:rPr>
            </w:pPr>
            <w:r>
              <w:rPr>
                <w:rFonts w:hint="eastAsia"/>
                <w:sz w:val="24"/>
              </w:rPr>
              <w:t>3.</w:t>
            </w:r>
            <w:r>
              <w:rPr>
                <w:rFonts w:hint="eastAsia"/>
                <w:sz w:val="24"/>
              </w:rPr>
              <w:t>重大事故隐患</w:t>
            </w:r>
            <w:r>
              <w:rPr>
                <w:rFonts w:hint="eastAsia"/>
                <w:sz w:val="24"/>
              </w:rPr>
              <w:t>2023</w:t>
            </w:r>
            <w:r>
              <w:rPr>
                <w:rFonts w:hint="eastAsia"/>
                <w:sz w:val="24"/>
              </w:rPr>
              <w:t>专项行动开展以来未组织消防、民爆等行业判定标准培训；</w:t>
            </w:r>
          </w:p>
          <w:p w:rsidR="00B7463F" w:rsidRDefault="00B7463F" w:rsidP="004C5CEF">
            <w:pPr>
              <w:jc w:val="left"/>
              <w:rPr>
                <w:sz w:val="24"/>
              </w:rPr>
            </w:pPr>
            <w:r>
              <w:rPr>
                <w:rFonts w:hint="eastAsia"/>
                <w:sz w:val="24"/>
              </w:rPr>
              <w:t>4.</w:t>
            </w:r>
            <w:r>
              <w:rPr>
                <w:rFonts w:hint="eastAsia"/>
                <w:sz w:val="24"/>
              </w:rPr>
              <w:t>安全带、安全绳、急救箱未按批准的应急预案中要求的应急物资数量配备，应急喇叭不能正常使用。</w:t>
            </w:r>
          </w:p>
        </w:tc>
        <w:tc>
          <w:tcPr>
            <w:tcW w:w="1675" w:type="dxa"/>
            <w:vAlign w:val="center"/>
          </w:tcPr>
          <w:p w:rsidR="00B7463F" w:rsidRDefault="00B7463F" w:rsidP="004C5CEF">
            <w:pPr>
              <w:jc w:val="center"/>
              <w:rPr>
                <w:sz w:val="24"/>
              </w:rPr>
            </w:pPr>
            <w:r>
              <w:rPr>
                <w:rFonts w:hint="eastAsia"/>
                <w:sz w:val="24"/>
              </w:rPr>
              <w:t>已整改</w:t>
            </w:r>
          </w:p>
        </w:tc>
      </w:tr>
    </w:tbl>
    <w:p w:rsidR="00A61A0F" w:rsidRDefault="00A61A0F">
      <w:pPr>
        <w:rPr>
          <w:rFonts w:hint="eastAsia"/>
        </w:rPr>
      </w:pPr>
      <w:bookmarkStart w:id="0" w:name="_GoBack"/>
      <w:bookmarkEnd w:id="0"/>
    </w:p>
    <w:sectPr w:rsidR="00A61A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9BE" w:rsidRDefault="00DF59BE" w:rsidP="00B7463F">
      <w:r>
        <w:separator/>
      </w:r>
    </w:p>
  </w:endnote>
  <w:endnote w:type="continuationSeparator" w:id="0">
    <w:p w:rsidR="00DF59BE" w:rsidRDefault="00DF59BE" w:rsidP="00B7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9BE" w:rsidRDefault="00DF59BE" w:rsidP="00B7463F">
      <w:r>
        <w:separator/>
      </w:r>
    </w:p>
  </w:footnote>
  <w:footnote w:type="continuationSeparator" w:id="0">
    <w:p w:rsidR="00DF59BE" w:rsidRDefault="00DF59BE" w:rsidP="00B74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FF"/>
    <w:rsid w:val="000877FF"/>
    <w:rsid w:val="00A61A0F"/>
    <w:rsid w:val="00B7463F"/>
    <w:rsid w:val="00DF5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C03450-401B-4BC9-A107-50A44979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63F"/>
    <w:pPr>
      <w:widowControl w:val="0"/>
      <w:jc w:val="both"/>
    </w:pPr>
    <w:rPr>
      <w:szCs w:val="24"/>
    </w:rPr>
  </w:style>
  <w:style w:type="paragraph" w:styleId="1">
    <w:name w:val="heading 1"/>
    <w:basedOn w:val="a"/>
    <w:next w:val="a"/>
    <w:link w:val="1Char"/>
    <w:qFormat/>
    <w:rsid w:val="00B7463F"/>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463F"/>
    <w:rPr>
      <w:sz w:val="18"/>
      <w:szCs w:val="18"/>
    </w:rPr>
  </w:style>
  <w:style w:type="paragraph" w:styleId="a4">
    <w:name w:val="footer"/>
    <w:basedOn w:val="a"/>
    <w:link w:val="Char0"/>
    <w:uiPriority w:val="99"/>
    <w:unhideWhenUsed/>
    <w:rsid w:val="00B7463F"/>
    <w:pPr>
      <w:tabs>
        <w:tab w:val="center" w:pos="4153"/>
        <w:tab w:val="right" w:pos="8306"/>
      </w:tabs>
      <w:snapToGrid w:val="0"/>
      <w:jc w:val="left"/>
    </w:pPr>
    <w:rPr>
      <w:sz w:val="18"/>
      <w:szCs w:val="18"/>
    </w:rPr>
  </w:style>
  <w:style w:type="character" w:customStyle="1" w:styleId="Char0">
    <w:name w:val="页脚 Char"/>
    <w:basedOn w:val="a0"/>
    <w:link w:val="a4"/>
    <w:uiPriority w:val="99"/>
    <w:rsid w:val="00B7463F"/>
    <w:rPr>
      <w:sz w:val="18"/>
      <w:szCs w:val="18"/>
    </w:rPr>
  </w:style>
  <w:style w:type="character" w:customStyle="1" w:styleId="1Char">
    <w:name w:val="标题 1 Char"/>
    <w:basedOn w:val="a0"/>
    <w:link w:val="1"/>
    <w:rsid w:val="00B7463F"/>
    <w:rPr>
      <w:rFonts w:ascii="宋体" w:eastAsia="宋体" w:hAnsi="宋体" w:cs="Times New Roman"/>
      <w:b/>
      <w:kern w:val="44"/>
      <w:sz w:val="48"/>
      <w:szCs w:val="48"/>
    </w:rPr>
  </w:style>
  <w:style w:type="paragraph" w:styleId="a5">
    <w:name w:val="Normal Indent"/>
    <w:basedOn w:val="a"/>
    <w:next w:val="5"/>
    <w:qFormat/>
    <w:rsid w:val="00B7463F"/>
    <w:pPr>
      <w:ind w:firstLineChars="200" w:firstLine="420"/>
    </w:pPr>
  </w:style>
  <w:style w:type="table" w:styleId="a6">
    <w:name w:val="Table Grid"/>
    <w:basedOn w:val="a1"/>
    <w:qFormat/>
    <w:rsid w:val="00B7463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index 5"/>
    <w:basedOn w:val="a"/>
    <w:next w:val="a"/>
    <w:autoRedefine/>
    <w:uiPriority w:val="99"/>
    <w:semiHidden/>
    <w:unhideWhenUsed/>
    <w:rsid w:val="00B7463F"/>
    <w:pPr>
      <w:ind w:leftChars="8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970</Characters>
  <Application>Microsoft Office Word</Application>
  <DocSecurity>0</DocSecurity>
  <Lines>8</Lines>
  <Paragraphs>2</Paragraphs>
  <ScaleCrop>false</ScaleCrop>
  <Company>MS</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2023-10-27T02:53:00Z</dcterms:created>
  <dcterms:modified xsi:type="dcterms:W3CDTF">2023-10-27T02:53:00Z</dcterms:modified>
</cp:coreProperties>
</file>