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426" w:leftChars="-133" w:firstLine="489" w:firstLineChars="153"/>
        <w:textAlignment w:val="auto"/>
        <w:outlineLvl w:val="9"/>
        <w:rPr>
          <w:rFonts w:ascii="黑体" w:eastAsia="黑体"/>
          <w:color w:val="auto"/>
        </w:rPr>
      </w:pPr>
      <w:r>
        <w:rPr>
          <w:rFonts w:ascii="黑体" w:eastAsia="黑体"/>
          <w:color w:val="auto"/>
        </w:rPr>
        <w:t>附件</w:t>
      </w:r>
    </w:p>
    <w:p>
      <w:pPr>
        <w:keepNext w:val="0"/>
        <w:keepLines w:val="0"/>
        <w:pageBreakBefore w:val="0"/>
        <w:widowControl w:val="0"/>
        <w:kinsoku/>
        <w:wordWrap/>
        <w:overflowPunct/>
        <w:topLinePunct w:val="0"/>
        <w:autoSpaceDE/>
        <w:autoSpaceDN/>
        <w:bidi w:val="0"/>
        <w:adjustRightInd/>
        <w:snapToGrid/>
        <w:spacing w:line="600" w:lineRule="exact"/>
        <w:ind w:left="-426" w:leftChars="-133" w:firstLine="489" w:firstLineChars="153"/>
        <w:textAlignment w:val="auto"/>
        <w:outlineLvl w:val="9"/>
        <w:rPr>
          <w:rFonts w:hint="eastAsia" w:ascii="黑体" w:eastAsia="黑体"/>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rPr>
        <w:t>省级挂牌督办安全</w:t>
      </w:r>
      <w:r>
        <w:rPr>
          <w:rFonts w:hint="eastAsia" w:ascii="方正小标宋简体" w:eastAsia="方正小标宋简体"/>
          <w:color w:val="auto"/>
          <w:sz w:val="44"/>
          <w:szCs w:val="44"/>
          <w:lang w:eastAsia="zh-CN"/>
        </w:rPr>
        <w:t>生产</w:t>
      </w:r>
      <w:r>
        <w:rPr>
          <w:rFonts w:hint="eastAsia" w:ascii="方正小标宋简体" w:eastAsia="方正小标宋简体"/>
          <w:color w:val="auto"/>
          <w:sz w:val="44"/>
          <w:szCs w:val="44"/>
        </w:rPr>
        <w:t>重大</w:t>
      </w:r>
      <w:r>
        <w:rPr>
          <w:rFonts w:hint="eastAsia" w:ascii="方正小标宋简体" w:eastAsia="方正小标宋简体"/>
          <w:color w:val="auto"/>
          <w:sz w:val="44"/>
          <w:szCs w:val="44"/>
          <w:lang w:val="en-US" w:eastAsia="zh-CN"/>
        </w:rPr>
        <w:t>事故</w:t>
      </w:r>
      <w:r>
        <w:rPr>
          <w:rFonts w:hint="eastAsia" w:ascii="方正小标宋简体" w:eastAsia="方正小标宋简体"/>
          <w:color w:val="auto"/>
          <w:sz w:val="44"/>
          <w:szCs w:val="44"/>
        </w:rPr>
        <w:t>隐患销号明细表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172" w:firstLineChars="54"/>
        <w:jc w:val="center"/>
        <w:textAlignment w:val="auto"/>
        <w:outlineLvl w:val="9"/>
        <w:rPr>
          <w:rFonts w:hint="eastAsia" w:ascii="黑体" w:eastAsia="黑体"/>
          <w:color w:val="auto"/>
        </w:rPr>
      </w:pPr>
    </w:p>
    <w:tbl>
      <w:tblPr>
        <w:tblStyle w:val="4"/>
        <w:tblW w:w="14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850"/>
        <w:gridCol w:w="3942"/>
        <w:gridCol w:w="1406"/>
        <w:gridCol w:w="1172"/>
        <w:gridCol w:w="1639"/>
        <w:gridCol w:w="205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15"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隐患名称</w:t>
            </w:r>
          </w:p>
        </w:tc>
        <w:tc>
          <w:tcPr>
            <w:tcW w:w="85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分类</w:t>
            </w:r>
          </w:p>
        </w:tc>
        <w:tc>
          <w:tcPr>
            <w:tcW w:w="3942"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隐患基本情况</w:t>
            </w:r>
          </w:p>
        </w:tc>
        <w:tc>
          <w:tcPr>
            <w:tcW w:w="1406"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治理责任</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单位</w:t>
            </w:r>
          </w:p>
        </w:tc>
        <w:tc>
          <w:tcPr>
            <w:tcW w:w="1172"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属地监管</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责任单位</w:t>
            </w:r>
          </w:p>
        </w:tc>
        <w:tc>
          <w:tcPr>
            <w:tcW w:w="1639"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行业督办单位</w:t>
            </w:r>
          </w:p>
        </w:tc>
        <w:tc>
          <w:tcPr>
            <w:tcW w:w="2058"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整改时限</w:t>
            </w:r>
          </w:p>
        </w:tc>
        <w:tc>
          <w:tcPr>
            <w:tcW w:w="1150"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销号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15"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延安新投建设工程有限公司（上城玖号项目）起重机未验收安全隐患</w:t>
            </w:r>
          </w:p>
        </w:tc>
        <w:tc>
          <w:tcPr>
            <w:tcW w:w="850"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建筑施工</w:t>
            </w:r>
          </w:p>
        </w:tc>
        <w:tc>
          <w:tcPr>
            <w:tcW w:w="3942"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2#塔式起重机未经验收合格即投入使用，1#塔式起重机安装方案和联合验收表无时间</w:t>
            </w:r>
            <w:r>
              <w:rPr>
                <w:rFonts w:hint="eastAsia" w:ascii="仿宋" w:cs="仿宋"/>
                <w:i w:val="0"/>
                <w:color w:val="auto"/>
                <w:kern w:val="0"/>
                <w:sz w:val="22"/>
                <w:szCs w:val="22"/>
                <w:u w:val="none"/>
                <w:lang w:val="en-US" w:eastAsia="zh-CN"/>
              </w:rPr>
              <w:t>。</w:t>
            </w:r>
          </w:p>
        </w:tc>
        <w:tc>
          <w:tcPr>
            <w:tcW w:w="1406"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延安新投建设工程有限公司（上城玖号项目）</w:t>
            </w:r>
          </w:p>
        </w:tc>
        <w:tc>
          <w:tcPr>
            <w:tcW w:w="1172"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延安市</w:t>
            </w:r>
            <w:r>
              <w:rPr>
                <w:rFonts w:ascii="仿宋" w:eastAsia="仿宋" w:cs="仿宋"/>
                <w:i w:val="0"/>
                <w:color w:val="auto"/>
                <w:kern w:val="0"/>
                <w:sz w:val="22"/>
                <w:szCs w:val="22"/>
                <w:u w:val="none"/>
                <w:lang w:val="en-US" w:eastAsia="zh-CN"/>
              </w:rPr>
              <w:t>人民政府</w:t>
            </w:r>
          </w:p>
        </w:tc>
        <w:tc>
          <w:tcPr>
            <w:tcW w:w="1639"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ascii="仿宋" w:eastAsia="仿宋" w:cs="仿宋"/>
                <w:i w:val="0"/>
                <w:color w:val="auto"/>
                <w:kern w:val="0"/>
                <w:sz w:val="22"/>
                <w:szCs w:val="22"/>
                <w:u w:val="none"/>
                <w:lang w:val="en-US" w:eastAsia="zh-CN"/>
              </w:rPr>
            </w:pPr>
            <w:r>
              <w:rPr>
                <w:rFonts w:ascii="仿宋" w:eastAsia="仿宋" w:cs="仿宋"/>
                <w:i w:val="0"/>
                <w:color w:val="auto"/>
                <w:kern w:val="0"/>
                <w:sz w:val="22"/>
                <w:szCs w:val="22"/>
                <w:u w:val="none"/>
                <w:lang w:val="en-US" w:eastAsia="zh-CN"/>
              </w:rPr>
              <w:t>省</w:t>
            </w:r>
            <w:r>
              <w:rPr>
                <w:rFonts w:hint="eastAsia" w:ascii="仿宋" w:eastAsia="仿宋" w:cs="仿宋"/>
                <w:i w:val="0"/>
                <w:color w:val="auto"/>
                <w:kern w:val="0"/>
                <w:sz w:val="22"/>
                <w:szCs w:val="22"/>
                <w:u w:val="none"/>
                <w:lang w:val="en-US" w:eastAsia="zh-CN"/>
              </w:rPr>
              <w:t>住房和城乡建设厅</w:t>
            </w:r>
          </w:p>
        </w:tc>
        <w:tc>
          <w:tcPr>
            <w:tcW w:w="2058"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color w:val="auto"/>
                <w:sz w:val="24"/>
                <w:szCs w:val="24"/>
                <w:highlight w:val="none"/>
                <w:lang w:val="en-US" w:eastAsia="zh-CN"/>
              </w:rPr>
            </w:pPr>
            <w:r>
              <w:rPr>
                <w:rFonts w:ascii="仿宋" w:eastAsia="仿宋" w:cs="仿宋"/>
                <w:i w:val="0"/>
                <w:color w:val="auto"/>
                <w:kern w:val="0"/>
                <w:sz w:val="22"/>
                <w:szCs w:val="22"/>
                <w:u w:val="none"/>
                <w:lang w:val="en-US" w:eastAsia="zh-CN"/>
              </w:rPr>
              <w:t>2023年8月</w:t>
            </w:r>
            <w:r>
              <w:rPr>
                <w:rFonts w:hint="eastAsia" w:ascii="仿宋" w:cs="仿宋"/>
                <w:i w:val="0"/>
                <w:color w:val="auto"/>
                <w:kern w:val="0"/>
                <w:sz w:val="22"/>
                <w:szCs w:val="22"/>
                <w:u w:val="none"/>
                <w:lang w:val="en-US" w:eastAsia="zh-CN"/>
              </w:rPr>
              <w:t>25</w:t>
            </w:r>
            <w:r>
              <w:rPr>
                <w:rFonts w:ascii="仿宋" w:eastAsia="仿宋" w:cs="仿宋"/>
                <w:i w:val="0"/>
                <w:color w:val="auto"/>
                <w:kern w:val="0"/>
                <w:sz w:val="22"/>
                <w:szCs w:val="22"/>
                <w:u w:val="none"/>
                <w:lang w:val="en-US" w:eastAsia="zh-CN"/>
              </w:rPr>
              <w:t>日</w:t>
            </w:r>
            <w:r>
              <w:rPr>
                <w:rFonts w:hint="eastAsia" w:ascii="仿宋" w:cs="仿宋"/>
                <w:i w:val="0"/>
                <w:color w:val="auto"/>
                <w:kern w:val="0"/>
                <w:sz w:val="22"/>
                <w:szCs w:val="22"/>
                <w:u w:val="none"/>
                <w:lang w:val="en-US" w:eastAsia="zh-CN"/>
              </w:rPr>
              <w:t>前</w:t>
            </w:r>
          </w:p>
        </w:tc>
        <w:tc>
          <w:tcPr>
            <w:tcW w:w="1150"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15"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榆林华胜燃气有限公司无证经营安全隐患</w:t>
            </w:r>
          </w:p>
        </w:tc>
        <w:tc>
          <w:tcPr>
            <w:tcW w:w="850"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燃气</w:t>
            </w:r>
          </w:p>
        </w:tc>
        <w:tc>
          <w:tcPr>
            <w:tcW w:w="3942"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榆林华胜燃气有限公司未取得《燃气经营许可证》，涉嫌无证经营</w:t>
            </w:r>
            <w:r>
              <w:rPr>
                <w:rFonts w:hint="eastAsia" w:ascii="仿宋" w:cs="仿宋"/>
                <w:i w:val="0"/>
                <w:color w:val="auto"/>
                <w:kern w:val="0"/>
                <w:sz w:val="22"/>
                <w:szCs w:val="22"/>
                <w:u w:val="none"/>
                <w:lang w:val="en-US" w:eastAsia="zh-CN"/>
              </w:rPr>
              <w:t>。</w:t>
            </w:r>
          </w:p>
        </w:tc>
        <w:tc>
          <w:tcPr>
            <w:tcW w:w="1406"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榆林华胜燃气有限公司</w:t>
            </w:r>
          </w:p>
        </w:tc>
        <w:tc>
          <w:tcPr>
            <w:tcW w:w="1172"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榆林市人民政府</w:t>
            </w:r>
          </w:p>
        </w:tc>
        <w:tc>
          <w:tcPr>
            <w:tcW w:w="1639"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ascii="仿宋" w:eastAsia="仿宋" w:cs="仿宋"/>
                <w:i w:val="0"/>
                <w:color w:val="auto"/>
                <w:kern w:val="0"/>
                <w:sz w:val="22"/>
                <w:szCs w:val="22"/>
                <w:u w:val="none"/>
                <w:lang w:val="en-US" w:eastAsia="zh-CN"/>
              </w:rPr>
            </w:pPr>
            <w:r>
              <w:rPr>
                <w:rFonts w:ascii="仿宋" w:eastAsia="仿宋" w:cs="仿宋"/>
                <w:i w:val="0"/>
                <w:color w:val="auto"/>
                <w:kern w:val="0"/>
                <w:sz w:val="22"/>
                <w:szCs w:val="22"/>
                <w:u w:val="none"/>
                <w:lang w:val="en-US" w:eastAsia="zh-CN"/>
              </w:rPr>
              <w:t>省</w:t>
            </w:r>
            <w:r>
              <w:rPr>
                <w:rFonts w:hint="eastAsia" w:ascii="仿宋" w:eastAsia="仿宋" w:cs="仿宋"/>
                <w:i w:val="0"/>
                <w:color w:val="auto"/>
                <w:kern w:val="0"/>
                <w:sz w:val="22"/>
                <w:szCs w:val="22"/>
                <w:u w:val="none"/>
                <w:lang w:val="en-US" w:eastAsia="zh-CN"/>
              </w:rPr>
              <w:t>住房和城乡建设厅</w:t>
            </w:r>
          </w:p>
        </w:tc>
        <w:tc>
          <w:tcPr>
            <w:tcW w:w="2058"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2024年3月31日</w:t>
            </w:r>
          </w:p>
        </w:tc>
        <w:tc>
          <w:tcPr>
            <w:tcW w:w="1150"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同意销号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15"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榆林市高新区真爱幼幼托育服务有限公司违规设置儿童活动场所安全隐患</w:t>
            </w:r>
          </w:p>
        </w:tc>
        <w:tc>
          <w:tcPr>
            <w:tcW w:w="850"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教育</w:t>
            </w:r>
          </w:p>
        </w:tc>
        <w:tc>
          <w:tcPr>
            <w:tcW w:w="3942"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榆林市高新区真爱幼幼托育服务有限公司经营的儿童活动场所设置在建筑第四层，不符合《建筑防火通用规范》（GB55037-2022）第4.3.4条规定。</w:t>
            </w:r>
          </w:p>
        </w:tc>
        <w:tc>
          <w:tcPr>
            <w:tcW w:w="1406"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both"/>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榆林市高新区真爱幼幼托育服务有限公司</w:t>
            </w:r>
          </w:p>
        </w:tc>
        <w:tc>
          <w:tcPr>
            <w:tcW w:w="1172"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left"/>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榆林市人民政府</w:t>
            </w:r>
          </w:p>
        </w:tc>
        <w:tc>
          <w:tcPr>
            <w:tcW w:w="1639"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省教育厅</w:t>
            </w:r>
          </w:p>
        </w:tc>
        <w:tc>
          <w:tcPr>
            <w:tcW w:w="2058"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ascii="仿宋" w:eastAsia="仿宋" w:cs="仿宋"/>
                <w:i w:val="0"/>
                <w:color w:val="auto"/>
                <w:kern w:val="0"/>
                <w:sz w:val="22"/>
                <w:szCs w:val="22"/>
                <w:u w:val="none"/>
                <w:lang w:val="en-US" w:eastAsia="zh-CN"/>
              </w:rPr>
              <w:t>2023年</w:t>
            </w:r>
            <w:r>
              <w:rPr>
                <w:rFonts w:hint="eastAsia" w:ascii="仿宋" w:eastAsia="仿宋" w:cs="仿宋"/>
                <w:i w:val="0"/>
                <w:color w:val="auto"/>
                <w:kern w:val="0"/>
                <w:sz w:val="22"/>
                <w:szCs w:val="22"/>
                <w:u w:val="none"/>
                <w:lang w:val="en-US" w:eastAsia="zh-CN"/>
              </w:rPr>
              <w:t>12</w:t>
            </w:r>
            <w:r>
              <w:rPr>
                <w:rFonts w:ascii="仿宋" w:eastAsia="仿宋" w:cs="仿宋"/>
                <w:i w:val="0"/>
                <w:color w:val="auto"/>
                <w:kern w:val="0"/>
                <w:sz w:val="22"/>
                <w:szCs w:val="22"/>
                <w:u w:val="none"/>
                <w:lang w:val="en-US" w:eastAsia="zh-CN"/>
              </w:rPr>
              <w:t>月</w:t>
            </w:r>
            <w:r>
              <w:rPr>
                <w:rFonts w:hint="eastAsia" w:ascii="仿宋" w:eastAsia="仿宋" w:cs="仿宋"/>
                <w:i w:val="0"/>
                <w:color w:val="auto"/>
                <w:kern w:val="0"/>
                <w:sz w:val="22"/>
                <w:szCs w:val="22"/>
                <w:u w:val="none"/>
                <w:lang w:val="en-US" w:eastAsia="zh-CN"/>
              </w:rPr>
              <w:t>31</w:t>
            </w:r>
            <w:r>
              <w:rPr>
                <w:rFonts w:ascii="仿宋" w:eastAsia="仿宋" w:cs="仿宋"/>
                <w:i w:val="0"/>
                <w:color w:val="auto"/>
                <w:kern w:val="0"/>
                <w:sz w:val="22"/>
                <w:szCs w:val="22"/>
                <w:u w:val="none"/>
                <w:lang w:val="en-US" w:eastAsia="zh-CN"/>
              </w:rPr>
              <w:t>日</w:t>
            </w:r>
          </w:p>
        </w:tc>
        <w:tc>
          <w:tcPr>
            <w:tcW w:w="1150" w:type="dxa"/>
            <w:noWrap/>
            <w:vAlign w:val="center"/>
          </w:tcPr>
          <w:p>
            <w:pPr>
              <w:keepNext w:val="0"/>
              <w:keepLines w:val="0"/>
              <w:pageBreakBefore w:val="0"/>
              <w:widowControl w:val="0"/>
              <w:suppressLineNumbers w:val="0"/>
              <w:kinsoku w:val="0"/>
              <w:wordWrap/>
              <w:overflowPunct w:val="0"/>
              <w:topLinePunct/>
              <w:autoSpaceDE/>
              <w:autoSpaceDN/>
              <w:bidi w:val="0"/>
              <w:adjustRightInd/>
              <w:snapToGrid/>
              <w:spacing w:line="240" w:lineRule="exact"/>
              <w:jc w:val="center"/>
              <w:textAlignment w:val="center"/>
              <w:rPr>
                <w:rFonts w:hint="eastAsia" w:ascii="仿宋" w:eastAsia="仿宋" w:cs="仿宋"/>
                <w:i w:val="0"/>
                <w:color w:val="auto"/>
                <w:kern w:val="0"/>
                <w:sz w:val="22"/>
                <w:szCs w:val="22"/>
                <w:u w:val="none"/>
                <w:lang w:val="en-US" w:eastAsia="zh-CN"/>
              </w:rPr>
            </w:pPr>
            <w:r>
              <w:rPr>
                <w:rFonts w:hint="eastAsia" w:ascii="仿宋" w:eastAsia="仿宋" w:cs="仿宋"/>
                <w:i w:val="0"/>
                <w:color w:val="auto"/>
                <w:kern w:val="0"/>
                <w:sz w:val="22"/>
                <w:szCs w:val="22"/>
                <w:u w:val="none"/>
                <w:lang w:val="en-US" w:eastAsia="zh-CN"/>
              </w:rPr>
              <w:t>同意销号</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16CF47AF"/>
    <w:rsid w:val="02D4653B"/>
    <w:rsid w:val="11101DC5"/>
    <w:rsid w:val="15462CE6"/>
    <w:rsid w:val="16B3762F"/>
    <w:rsid w:val="16CF47AF"/>
    <w:rsid w:val="1A2B0F37"/>
    <w:rsid w:val="1B2051AF"/>
    <w:rsid w:val="3AD90BE4"/>
    <w:rsid w:val="3C991809"/>
    <w:rsid w:val="3F44357F"/>
    <w:rsid w:val="3FB1329C"/>
    <w:rsid w:val="4CB31A55"/>
    <w:rsid w:val="53E378B1"/>
    <w:rsid w:val="56842029"/>
    <w:rsid w:val="64B22133"/>
    <w:rsid w:val="67974901"/>
    <w:rsid w:val="79EF46FF"/>
    <w:rsid w:val="7B44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方正仿宋简体"/>
      <w:szCs w:val="20"/>
    </w:rPr>
  </w:style>
  <w:style w:type="paragraph" w:styleId="3">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2024-04-03T02:01:00Z</dcterms:created>
  <dc:creator>安之若素i</dc:creator>
  <cp:lastModifiedBy>安之若素i</cp:lastModifiedBy>
  <dcterms:modified xsi:type="dcterms:W3CDTF">2024-04-03T02:02:11Z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89020DAA5DB34FEA8DE28FE4C2C5CFBB_11</vt:lpwstr>
  </property>
</Properties>
</file>