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5"/>
        <w:jc w:val="center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变更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危险化学品安全生产许可企业名单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家）</w:t>
      </w:r>
      <w:bookmarkEnd w:id="0"/>
    </w:p>
    <w:tbl>
      <w:tblPr>
        <w:tblStyle w:val="6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214"/>
        <w:gridCol w:w="2298"/>
        <w:gridCol w:w="1466"/>
        <w:gridCol w:w="1827"/>
        <w:gridCol w:w="3667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法  人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地  址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法定代表人</w:t>
            </w:r>
          </w:p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（负责人）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许可证编号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许可范围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西安北方惠天化学工业有限公司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陕西省西安市鄠邑区余下街办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邱吉辉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（陕）WH安许证〔2024〕0236号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丙烯酸脂树脂500吨/年，聚酸树脂1500吨/年，环氧树脂涂料500吨/年，聚氨酯树脂涂料800吨/年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  <w:t>2024-01-12至2026-04-21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西安万德能源化学股份有限公司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  <w:t>陕西省西安市高新区上林苑四路18号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王育斌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（陕）WH安许证〔2024〕0330号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  <w:t>十六烷值改进剂3000吨/年、原油破乳剂1000吨/年、汽/柴油无灰型抗静电剂400吨/年、四甲基氢氧化铵（25%-35%水溶液）240吨/年、四乙基氢氧化铵（25%-35%水溶液）800吨/年、四丙基氢氧化铵（25%-35%水溶液）700吨/年、四丁基氢氧化按（25%-35%水溶液）240吨/年、缓蚀剂600吨/年、油性破乳剂400吨/年、汽油抗爆剂MMT1000吨/年、戊二醛600吨/年、硫酸4000吨/年、盐酸277吨/年、氢溴酸418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  <w:t>2024-01-12至2024-05-31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陕西龙门煤化工有限责任公司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陕西省韩城市龙门镇龙门工业园东区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梁小忠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（陕）WH安许证〔2024〕0117号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煤焦油19万吨/年，硫酸铵3.8万吨/年，粗苯5.2万吨/年，甲醇20万吨/年，LNG25万吨/年，液氨28万吨/年，焦炉煤气24.5亿m³/年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2024-02-08至2026-12-30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陕西恒源投资集团煤化工有限公司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陕西省榆林市神木市孙家岔镇王道恒塔村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余波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（陕）WH安许证〔2024〕0309号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  <w:t>煤焦油6万吨/年、煤气6亿标立方/年、氨溶液（含氨&gt;10%）1700吨/年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2024-02-08至2026-12-09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神木市国融精细化工有限公司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陕西省榆林市神木市锦界工业园区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王建国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（陕）WH安许证〔2024〕0234号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氢4000m³/年，正丁醇3500吨/年，1,4-二羟基-2-丁炔60880吨/年，氮[压缩的]450立方米/年，乙炔20000m³/年，甲醛溶液12万吨/年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2024-02-08至2026-04-16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陕西天地和实业有限公司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陕西省延安市吴起县刘渠子阳光嘉寓2号楼3单元202室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（陕）WH安许证〔2024〕0065号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  <w:t>吴三转伴生气利用站：液化天然气（LNG）1000吨/年、混烃：400吨/年；前陈砭村气站：混烃400吨/年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2024-03-19至2024-12-13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陕西绿能油气技术有限公司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陕西省延安市志丹县能源化工园区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王广轻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（陕）WH安许证〔2024〕0185号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余河轻烃回收站：液化天然气4620吨/年、混合轻烃4620吨/年；双庙LNG撬装站：液化天然气6600吨/年、混合轻烃330吨/年；南四转轻烃回收站：液化天然气3465吨/年、混合轻烃1320吨/年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2024-03-19至2025-12-13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米脂绿源天然气有限公司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陕西省榆林市米脂县东山梁工业园区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雷鹏飞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（陕）WH安许证〔2024〕0052号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液化天然气(LNG)209088吨/年，重烃700吨/年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2024-03-19至2024-11-22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陕西延长石油（集团）有限责任公司油田气化工科技公司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陕西省延安市延长县黑家堡周家湾村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景岗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（陕）WH安许证〔2024〕0173号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聚四氢呋喃46000吨/年、乙醇420吨/年、碳酸二甲酯3300吨/年、四氢呋喃46000吨/年、甲醛溶液22万吨/年、乙炔40000吨/年、正丁醇760吨/年、1,4-丁二醇10万吨/年、粗乙醇4180吨/年、混合醇2600吨/年、乙二醇10万吨/年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2024-03-19至2025-11-23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680F09D4"/>
    <w:rsid w:val="02D4653B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CB31A55"/>
    <w:rsid w:val="56842029"/>
    <w:rsid w:val="64B22133"/>
    <w:rsid w:val="67974901"/>
    <w:rsid w:val="680F09D4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2024-04-09T06:55:00Z</dcterms:created>
  <dc:creator>安之若素i</dc:creator>
  <cp:lastModifiedBy>安之若素i</cp:lastModifiedBy>
  <dcterms:modified xsi:type="dcterms:W3CDTF">2024-04-09T06:56:01Z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C85981A7E6BC41CF95C7386FEEC79EE7_11</vt:lpwstr>
  </property>
</Properties>
</file>