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rPr>
          <w:rFonts w:hint="eastAsia" w:ascii="黑体" w:eastAsia="黑体" w:cs="黑体"/>
          <w:sz w:val="32"/>
          <w:szCs w:val="32"/>
          <w:lang w:val="en-US" w:eastAsia="zh-CN" w:bidi="ar-SA"/>
        </w:rPr>
      </w:pPr>
      <w:r>
        <w:rPr>
          <w:rFonts w:hint="eastAsia" w:ascii="黑体" w:eastAsia="黑体" w:cs="黑体"/>
          <w:sz w:val="32"/>
          <w:szCs w:val="32"/>
          <w:lang w:val="en-US" w:eastAsia="zh-CN" w:bidi="ar-SA"/>
        </w:rPr>
        <w:t>附件</w:t>
      </w:r>
    </w:p>
    <w:p>
      <w:pPr>
        <w:spacing w:line="600" w:lineRule="exact"/>
        <w:ind w:firstLine="0"/>
        <w:rPr>
          <w:rFonts w:hint="eastAsia" w:ascii="黑体" w:eastAsia="黑体" w:cs="黑体"/>
          <w:sz w:val="32"/>
          <w:szCs w:val="32"/>
          <w:lang w:val="en-US" w:eastAsia="zh-CN" w:bidi="ar-SA"/>
        </w:rPr>
      </w:pPr>
    </w:p>
    <w:p>
      <w:pPr>
        <w:spacing w:line="600" w:lineRule="exact"/>
        <w:ind w:firstLine="0"/>
        <w:jc w:val="center"/>
        <w:rPr>
          <w:rFonts w:hint="eastAsia" w:ascii="方正小标宋简体" w:eastAsia="方正小标宋简体" w:cs="方正小标宋简体"/>
          <w:sz w:val="44"/>
          <w:szCs w:val="44"/>
          <w:lang w:val="en-US" w:eastAsia="zh-CN" w:bidi="ar-SA"/>
        </w:rPr>
      </w:pPr>
      <w:bookmarkStart w:id="0" w:name="_GoBack"/>
      <w:r>
        <w:rPr>
          <w:rFonts w:hint="eastAsia" w:ascii="方正小标宋简体" w:eastAsia="方正小标宋简体" w:cs="方正小标宋简体"/>
          <w:sz w:val="44"/>
          <w:szCs w:val="44"/>
          <w:lang w:val="en-US" w:eastAsia="zh-CN" w:bidi="ar-SA"/>
        </w:rPr>
        <w:t>陕西省安全生产培训机构基本情况（2024年第一批）</w:t>
      </w:r>
      <w:bookmarkEnd w:id="0"/>
    </w:p>
    <w:tbl>
      <w:tblPr>
        <w:tblStyle w:val="4"/>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516"/>
        <w:gridCol w:w="1137"/>
        <w:gridCol w:w="1837"/>
        <w:gridCol w:w="1669"/>
        <w:gridCol w:w="813"/>
        <w:gridCol w:w="1096"/>
        <w:gridCol w:w="740"/>
        <w:gridCol w:w="1087"/>
        <w:gridCol w:w="990"/>
        <w:gridCol w:w="960"/>
        <w:gridCol w:w="2925"/>
        <w:gridCol w:w="705"/>
      </w:tblGrid>
      <w:tr>
        <w:tblPrEx>
          <w:tblLayout w:type="fixed"/>
        </w:tblPrEx>
        <w:trPr>
          <w:trHeight w:val="411" w:hRule="atLeast"/>
          <w:jc w:val="center"/>
        </w:trPr>
        <w:tc>
          <w:tcPr>
            <w:tcW w:w="945"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申请类型</w:t>
            </w:r>
          </w:p>
        </w:tc>
        <w:tc>
          <w:tcPr>
            <w:tcW w:w="516"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序号</w:t>
            </w:r>
          </w:p>
        </w:tc>
        <w:tc>
          <w:tcPr>
            <w:tcW w:w="1137"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安全培训机构名称</w:t>
            </w:r>
          </w:p>
        </w:tc>
        <w:tc>
          <w:tcPr>
            <w:tcW w:w="1837"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统一社会信用代码</w:t>
            </w:r>
          </w:p>
        </w:tc>
        <w:tc>
          <w:tcPr>
            <w:tcW w:w="1669"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地  址</w:t>
            </w:r>
          </w:p>
        </w:tc>
        <w:tc>
          <w:tcPr>
            <w:tcW w:w="813"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负责人</w:t>
            </w:r>
          </w:p>
        </w:tc>
        <w:tc>
          <w:tcPr>
            <w:tcW w:w="1096"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联系方式</w:t>
            </w:r>
          </w:p>
        </w:tc>
        <w:tc>
          <w:tcPr>
            <w:tcW w:w="740"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联系人</w:t>
            </w:r>
          </w:p>
        </w:tc>
        <w:tc>
          <w:tcPr>
            <w:tcW w:w="1087" w:type="dxa"/>
            <w:vMerge w:val="restart"/>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联系方式</w:t>
            </w:r>
          </w:p>
        </w:tc>
        <w:tc>
          <w:tcPr>
            <w:tcW w:w="4875" w:type="dxa"/>
            <w:gridSpan w:val="3"/>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行业及作业类别</w:t>
            </w:r>
          </w:p>
        </w:tc>
        <w:tc>
          <w:tcPr>
            <w:tcW w:w="705" w:type="dxa"/>
            <w:vMerge w:val="restart"/>
            <w:tcBorders>
              <w:tl2br w:val="nil"/>
              <w:tr2bl w:val="nil"/>
            </w:tcBorders>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仿宋" w:eastAsia="仿宋" w:cs="仿宋"/>
                <w:color w:val="000000"/>
                <w:sz w:val="18"/>
                <w:szCs w:val="18"/>
                <w:u w:val="none"/>
                <w:lang w:bidi="ar-SA"/>
              </w:rPr>
            </w:pPr>
            <w:r>
              <w:rPr>
                <w:rFonts w:hint="eastAsia" w:ascii="黑体" w:eastAsia="黑体" w:cs="黑体"/>
                <w:color w:val="000000"/>
                <w:kern w:val="0"/>
                <w:sz w:val="18"/>
                <w:szCs w:val="18"/>
                <w:u w:val="none"/>
                <w:lang w:val="en-US" w:eastAsia="zh-CN" w:bidi="ar"/>
              </w:rPr>
              <w:t>备注</w:t>
            </w:r>
          </w:p>
        </w:tc>
      </w:tr>
      <w:tr>
        <w:tblPrEx>
          <w:tblLayout w:type="fixed"/>
        </w:tblPrEx>
        <w:trPr>
          <w:trHeight w:val="90" w:hRule="atLeast"/>
          <w:jc w:val="center"/>
        </w:trPr>
        <w:tc>
          <w:tcPr>
            <w:tcW w:w="945" w:type="dxa"/>
            <w:vMerge w:val="continue"/>
            <w:tcBorders>
              <w:tl2br w:val="nil"/>
              <w:tr2bl w:val="nil"/>
            </w:tcBorders>
            <w:tcMar>
              <w:top w:w="15" w:type="dxa"/>
              <w:left w:w="15" w:type="dxa"/>
              <w:right w:w="15" w:type="dxa"/>
            </w:tcMar>
            <w:vAlign w:val="center"/>
          </w:tcPr>
          <w:p>
            <w:pPr/>
          </w:p>
        </w:tc>
        <w:tc>
          <w:tcPr>
            <w:tcW w:w="516" w:type="dxa"/>
            <w:vMerge w:val="continue"/>
            <w:tcBorders>
              <w:tl2br w:val="nil"/>
              <w:tr2bl w:val="nil"/>
            </w:tcBorders>
            <w:tcMar>
              <w:top w:w="15" w:type="dxa"/>
              <w:left w:w="15" w:type="dxa"/>
              <w:right w:w="15" w:type="dxa"/>
            </w:tcMar>
            <w:vAlign w:val="center"/>
          </w:tcPr>
          <w:p>
            <w:pPr/>
          </w:p>
        </w:tc>
        <w:tc>
          <w:tcPr>
            <w:tcW w:w="1137" w:type="dxa"/>
            <w:vMerge w:val="continue"/>
            <w:tcBorders>
              <w:tl2br w:val="nil"/>
              <w:tr2bl w:val="nil"/>
            </w:tcBorders>
            <w:tcMar>
              <w:top w:w="15" w:type="dxa"/>
              <w:left w:w="15" w:type="dxa"/>
              <w:right w:w="15" w:type="dxa"/>
            </w:tcMar>
            <w:vAlign w:val="center"/>
          </w:tcPr>
          <w:p>
            <w:pPr/>
          </w:p>
        </w:tc>
        <w:tc>
          <w:tcPr>
            <w:tcW w:w="1837" w:type="dxa"/>
            <w:vMerge w:val="continue"/>
            <w:tcBorders>
              <w:tl2br w:val="nil"/>
              <w:tr2bl w:val="nil"/>
            </w:tcBorders>
            <w:tcMar>
              <w:top w:w="15" w:type="dxa"/>
              <w:left w:w="15" w:type="dxa"/>
              <w:right w:w="15" w:type="dxa"/>
            </w:tcMar>
            <w:vAlign w:val="center"/>
          </w:tcPr>
          <w:p>
            <w:pPr/>
          </w:p>
        </w:tc>
        <w:tc>
          <w:tcPr>
            <w:tcW w:w="1669" w:type="dxa"/>
            <w:vMerge w:val="continue"/>
            <w:tcBorders>
              <w:tl2br w:val="nil"/>
              <w:tr2bl w:val="nil"/>
            </w:tcBorders>
            <w:tcMar>
              <w:top w:w="15" w:type="dxa"/>
              <w:left w:w="15" w:type="dxa"/>
              <w:right w:w="15" w:type="dxa"/>
            </w:tcMar>
            <w:vAlign w:val="center"/>
          </w:tcPr>
          <w:p>
            <w:pPr/>
          </w:p>
        </w:tc>
        <w:tc>
          <w:tcPr>
            <w:tcW w:w="813" w:type="dxa"/>
            <w:vMerge w:val="continue"/>
            <w:tcBorders>
              <w:tl2br w:val="nil"/>
              <w:tr2bl w:val="nil"/>
            </w:tcBorders>
            <w:tcMar>
              <w:top w:w="15" w:type="dxa"/>
              <w:left w:w="15" w:type="dxa"/>
              <w:right w:w="15" w:type="dxa"/>
            </w:tcMar>
            <w:vAlign w:val="center"/>
          </w:tcPr>
          <w:p>
            <w:pPr/>
          </w:p>
        </w:tc>
        <w:tc>
          <w:tcPr>
            <w:tcW w:w="1096" w:type="dxa"/>
            <w:vMerge w:val="continue"/>
            <w:tcBorders>
              <w:tl2br w:val="nil"/>
              <w:tr2bl w:val="nil"/>
            </w:tcBorders>
            <w:tcMar>
              <w:top w:w="15" w:type="dxa"/>
              <w:left w:w="15" w:type="dxa"/>
              <w:right w:w="15" w:type="dxa"/>
            </w:tcMar>
            <w:vAlign w:val="center"/>
          </w:tcPr>
          <w:p>
            <w:pPr/>
          </w:p>
        </w:tc>
        <w:tc>
          <w:tcPr>
            <w:tcW w:w="740" w:type="dxa"/>
            <w:vMerge w:val="continue"/>
            <w:tcBorders>
              <w:tl2br w:val="nil"/>
              <w:tr2bl w:val="nil"/>
            </w:tcBorders>
            <w:tcMar>
              <w:top w:w="15" w:type="dxa"/>
              <w:left w:w="15" w:type="dxa"/>
              <w:right w:w="15" w:type="dxa"/>
            </w:tcMar>
            <w:vAlign w:val="center"/>
          </w:tcPr>
          <w:p>
            <w:pPr/>
          </w:p>
        </w:tc>
        <w:tc>
          <w:tcPr>
            <w:tcW w:w="1087" w:type="dxa"/>
            <w:vMerge w:val="continue"/>
            <w:tcBorders>
              <w:tl2br w:val="nil"/>
              <w:tr2bl w:val="nil"/>
            </w:tcBorders>
            <w:tcMar>
              <w:top w:w="15" w:type="dxa"/>
              <w:left w:w="15" w:type="dxa"/>
              <w:right w:w="15" w:type="dxa"/>
            </w:tcMar>
            <w:vAlign w:val="center"/>
          </w:tcPr>
          <w:p>
            <w:pPr/>
          </w:p>
        </w:tc>
        <w:tc>
          <w:tcPr>
            <w:tcW w:w="990" w:type="dxa"/>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主要负责人</w:t>
            </w:r>
          </w:p>
        </w:tc>
        <w:tc>
          <w:tcPr>
            <w:tcW w:w="960" w:type="dxa"/>
            <w:tcBorders>
              <w:tl2br w:val="nil"/>
              <w:tr2bl w:val="nil"/>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黑体" w:eastAsia="黑体" w:cs="黑体"/>
                <w:color w:val="000000"/>
                <w:kern w:val="0"/>
                <w:sz w:val="18"/>
                <w:szCs w:val="18"/>
                <w:u w:val="none"/>
                <w:lang w:val="en-US" w:eastAsia="zh-CN" w:bidi="ar"/>
              </w:rPr>
            </w:pPr>
            <w:r>
              <w:rPr>
                <w:rFonts w:hint="eastAsia" w:ascii="黑体" w:eastAsia="黑体" w:cs="黑体"/>
                <w:color w:val="000000"/>
                <w:kern w:val="0"/>
                <w:sz w:val="18"/>
                <w:szCs w:val="18"/>
                <w:u w:val="none"/>
                <w:lang w:val="en-US" w:eastAsia="zh-CN" w:bidi="ar"/>
              </w:rPr>
              <w:t>安全生产</w:t>
            </w:r>
          </w:p>
          <w:p>
            <w:pPr>
              <w:keepNext w:val="0"/>
              <w:keepLines w:val="0"/>
              <w:widowControl/>
              <w:suppressLineNumbers w:val="0"/>
              <w:spacing w:line="26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管理人员</w:t>
            </w: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黑体" w:eastAsia="黑体" w:cs="黑体"/>
                <w:color w:val="000000"/>
                <w:sz w:val="18"/>
                <w:szCs w:val="18"/>
                <w:u w:val="none"/>
                <w:lang w:bidi="ar-SA"/>
              </w:rPr>
            </w:pPr>
            <w:r>
              <w:rPr>
                <w:rFonts w:hint="eastAsia" w:ascii="黑体" w:eastAsia="黑体" w:cs="黑体"/>
                <w:color w:val="000000"/>
                <w:kern w:val="0"/>
                <w:sz w:val="18"/>
                <w:szCs w:val="18"/>
                <w:u w:val="none"/>
                <w:lang w:val="en-US" w:eastAsia="zh-CN" w:bidi="ar"/>
              </w:rPr>
              <w:t>特种作业人员</w:t>
            </w:r>
          </w:p>
        </w:tc>
        <w:tc>
          <w:tcPr>
            <w:tcW w:w="705" w:type="dxa"/>
            <w:vMerge w:val="continue"/>
            <w:tcBorders>
              <w:tl2br w:val="nil"/>
              <w:tr2bl w:val="nil"/>
            </w:tcBorders>
            <w:tcMar>
              <w:top w:w="15" w:type="dxa"/>
              <w:left w:w="15" w:type="dxa"/>
              <w:right w:w="15" w:type="dxa"/>
            </w:tcMar>
            <w:vAlign w:val="center"/>
          </w:tcPr>
          <w:p>
            <w:pPr/>
          </w:p>
        </w:tc>
      </w:tr>
      <w:tr>
        <w:tblPrEx>
          <w:tblLayout w:type="fixed"/>
        </w:tblPrEx>
        <w:trPr>
          <w:trHeight w:val="1239" w:hRule="atLeast"/>
          <w:jc w:val="center"/>
        </w:trPr>
        <w:tc>
          <w:tcPr>
            <w:tcW w:w="945" w:type="dxa"/>
            <w:vMerge w:val="restart"/>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初报</w:t>
            </w:r>
            <w:r>
              <w:rPr>
                <w:rFonts w:hint="eastAsia" w:ascii="仿宋" w:cs="仿宋"/>
                <w:color w:val="000000"/>
                <w:kern w:val="0"/>
                <w:sz w:val="18"/>
                <w:szCs w:val="18"/>
                <w:u w:val="none"/>
                <w:lang w:val="en-US" w:eastAsia="zh-CN" w:bidi="ar"/>
              </w:rPr>
              <w:t>3</w:t>
            </w:r>
            <w:r>
              <w:rPr>
                <w:rFonts w:hint="eastAsia" w:ascii="仿宋" w:eastAsia="仿宋" w:cs="仿宋"/>
                <w:color w:val="000000"/>
                <w:kern w:val="0"/>
                <w:sz w:val="18"/>
                <w:szCs w:val="18"/>
                <w:u w:val="none"/>
                <w:lang w:val="en-US" w:eastAsia="zh-CN" w:bidi="ar"/>
              </w:rPr>
              <w:t>家</w:t>
            </w:r>
          </w:p>
        </w:tc>
        <w:tc>
          <w:tcPr>
            <w:tcW w:w="516"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eastAsia="仿宋" w:cs="仿宋"/>
                <w:color w:val="000000"/>
                <w:kern w:val="0"/>
                <w:sz w:val="18"/>
                <w:szCs w:val="18"/>
                <w:u w:val="none"/>
                <w:lang w:val="en-US" w:eastAsia="zh-CN" w:bidi="ar"/>
              </w:rPr>
            </w:pPr>
            <w:r>
              <w:rPr>
                <w:rFonts w:hint="eastAsia" w:ascii="微软雅黑" w:eastAsia="微软雅黑" w:cs="微软雅黑"/>
                <w:color w:val="000000"/>
                <w:kern w:val="0"/>
                <w:sz w:val="16"/>
                <w:szCs w:val="16"/>
                <w:u w:val="none"/>
                <w:lang w:val="en-US" w:eastAsia="zh-CN" w:bidi="ar"/>
              </w:rPr>
              <w:t>1</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陕西汽车技工学校</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12610000050428179U</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西安市经济技术开发区泾渭工业园渭阳路39号</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李亚平</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15389200101</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王庆</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17792695113</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一般行业</w:t>
            </w: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w:t>
            </w:r>
            <w:r>
              <w:rPr>
                <w:rFonts w:hint="eastAsia" w:ascii="仿宋" w:eastAsia="仿宋" w:cs="仿宋"/>
                <w:color w:val="000000"/>
                <w:kern w:val="0"/>
                <w:sz w:val="18"/>
                <w:szCs w:val="18"/>
                <w:u w:val="none"/>
                <w:lang w:val="en-US" w:eastAsia="zh-CN" w:bidi="ar"/>
              </w:rPr>
              <w:t>电工作业（低压电工作业）</w:t>
            </w:r>
            <w:r>
              <w:rPr>
                <w:rFonts w:hint="eastAsia" w:ascii="仿宋" w:cs="仿宋"/>
                <w:color w:val="000000"/>
                <w:kern w:val="0"/>
                <w:sz w:val="18"/>
                <w:szCs w:val="18"/>
                <w:u w:val="none"/>
                <w:lang w:val="en-US" w:eastAsia="zh-CN" w:bidi="ar"/>
              </w:rPr>
              <w:t>，2.</w:t>
            </w:r>
            <w:r>
              <w:rPr>
                <w:rFonts w:hint="eastAsia" w:ascii="仿宋" w:eastAsia="仿宋" w:cs="仿宋"/>
                <w:color w:val="000000"/>
                <w:kern w:val="0"/>
                <w:sz w:val="18"/>
                <w:szCs w:val="18"/>
                <w:u w:val="none"/>
                <w:lang w:val="en-US" w:eastAsia="zh-CN" w:bidi="ar"/>
              </w:rPr>
              <w:t>焊接与热切割作业</w:t>
            </w:r>
            <w:r>
              <w:rPr>
                <w:rFonts w:hint="eastAsia" w:ascii="仿宋" w:eastAsia="仿宋" w:cs="仿宋"/>
                <w:color w:val="000000"/>
                <w:kern w:val="0"/>
                <w:sz w:val="18"/>
                <w:szCs w:val="18"/>
                <w:u w:val="none"/>
                <w:lang w:val="en-US" w:eastAsia="zh-CN" w:bidi="ar"/>
              </w:rPr>
              <w:t>（熔化焊接与热切割作业）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重新</w:t>
            </w:r>
          </w:p>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报告</w:t>
            </w:r>
          </w:p>
        </w:tc>
      </w:tr>
      <w:tr>
        <w:tblPrEx>
          <w:tblLayout w:type="fixed"/>
        </w:tblPrEx>
        <w:trPr>
          <w:trHeight w:val="1805" w:hRule="atLeast"/>
          <w:jc w:val="center"/>
        </w:trPr>
        <w:tc>
          <w:tcPr>
            <w:tcW w:w="945" w:type="dxa"/>
            <w:vMerge w:val="continue"/>
            <w:tcBorders>
              <w:tl2br w:val="nil"/>
              <w:tr2bl w:val="nil"/>
            </w:tcBorders>
            <w:tcMar>
              <w:top w:w="15" w:type="dxa"/>
              <w:left w:w="15" w:type="dxa"/>
              <w:right w:w="15" w:type="dxa"/>
            </w:tcMar>
            <w:vAlign w:val="center"/>
          </w:tcPr>
          <w:p>
            <w:pPr/>
          </w:p>
        </w:tc>
        <w:tc>
          <w:tcPr>
            <w:tcW w:w="516" w:type="dxa"/>
            <w:tcBorders>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 w:eastAsia="仿宋" w:cs="仿宋"/>
                <w:color w:val="000000"/>
                <w:kern w:val="0"/>
                <w:sz w:val="18"/>
                <w:szCs w:val="18"/>
                <w:u w:val="none"/>
                <w:lang w:val="en-US" w:eastAsia="zh-CN" w:bidi="ar"/>
              </w:rPr>
            </w:pPr>
            <w:r>
              <w:rPr>
                <w:rFonts w:hint="eastAsia" w:ascii="微软雅黑" w:eastAsia="微软雅黑" w:cs="微软雅黑"/>
                <w:color w:val="000000"/>
                <w:kern w:val="0"/>
                <w:sz w:val="16"/>
                <w:szCs w:val="16"/>
                <w:u w:val="none"/>
                <w:lang w:val="en-US" w:eastAsia="zh-CN" w:bidi="ar"/>
              </w:rPr>
              <w:t>2</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陕西大秦恒茂安全技术服务有限公司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91610402MAD49N9W5K</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陕西省咸阳市秦都区咸通北路阳光尚苑小区8号楼三层03号</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hAnsi="仿宋" w:cs="仿宋"/>
                <w:color w:val="0D0D0D"/>
                <w:kern w:val="0"/>
                <w:sz w:val="21"/>
                <w:szCs w:val="21"/>
                <w:lang w:val="en-US" w:eastAsia="zh-CN"/>
              </w:rPr>
              <w:t>张叶叶</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15592068788</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南朝辉</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15592068788</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非煤矿山、危险化学品生产和经营、烟花爆竹经营、金属冶炼、一般行业。</w:t>
            </w: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焊接与热切割作业（熔化焊接与热切割作业），3、高处作业(登高架设作业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高处安装维护拆除作业）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2083" w:hRule="atLeast"/>
          <w:jc w:val="center"/>
        </w:trPr>
        <w:tc>
          <w:tcPr>
            <w:tcW w:w="945" w:type="dxa"/>
            <w:vMerge w:val="continue"/>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3</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铜川卓智永行职业技能培训学校有限公司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91610201MACRAT9R5C</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陕西省铜川市新区金谟西路金谟坊制品市场A428-29</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王少朋</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17396615000</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杜玉</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18189295376</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1</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电工作业（低压电工作业、高压电工作业），2</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高处作业(登高架设作业</w:t>
            </w:r>
            <w:r>
              <w:rPr>
                <w:rFonts w:hint="eastAsia" w:ascii="仿宋" w:cs="仿宋"/>
                <w:color w:val="000000"/>
                <w:kern w:val="0"/>
                <w:sz w:val="18"/>
                <w:szCs w:val="18"/>
                <w:u w:val="none"/>
                <w:lang w:val="en-US" w:eastAsia="zh-CN" w:bidi="ar"/>
              </w:rPr>
              <w:t>、</w:t>
            </w:r>
            <w:r>
              <w:rPr>
                <w:rFonts w:hint="eastAsia" w:ascii="仿宋" w:eastAsia="仿宋" w:cs="仿宋"/>
                <w:color w:val="000000"/>
                <w:kern w:val="0"/>
                <w:sz w:val="18"/>
                <w:szCs w:val="18"/>
                <w:u w:val="none"/>
                <w:lang w:val="en-US" w:eastAsia="zh-CN" w:bidi="ar"/>
              </w:rPr>
              <w:t>高处安装维护拆除作业）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1673" w:hRule="atLeast"/>
          <w:jc w:val="center"/>
        </w:trPr>
        <w:tc>
          <w:tcPr>
            <w:tcW w:w="945" w:type="dxa"/>
            <w:vMerge w:val="restart"/>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增项2家</w:t>
            </w: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4</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榆林厚润源安全技术有限公司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91610802MA70DTFK9R</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陕西省榆林市榆阳区航宇路道办事处龙洋社区文化南路西港锦天城二楼201（榆林二院东门斜对面）</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王  财</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18292236660</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李盼盼</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18292236660</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增项：1.</w:t>
            </w:r>
            <w:r>
              <w:rPr>
                <w:rFonts w:hint="eastAsia" w:ascii="仿宋" w:eastAsia="仿宋" w:cs="仿宋"/>
                <w:color w:val="000000"/>
                <w:kern w:val="0"/>
                <w:sz w:val="18"/>
                <w:szCs w:val="18"/>
                <w:u w:val="none"/>
                <w:lang w:val="en-US" w:eastAsia="zh-CN" w:bidi="ar"/>
              </w:rPr>
              <w:t>电工作业（高压电工作业、电力电缆作业、继电保护作业、电气试验作业、防爆电气作业），</w:t>
            </w:r>
            <w:r>
              <w:rPr>
                <w:rFonts w:hint="eastAsia" w:ascii="仿宋" w:cs="仿宋"/>
                <w:color w:val="000000"/>
                <w:kern w:val="0"/>
                <w:sz w:val="18"/>
                <w:szCs w:val="18"/>
                <w:u w:val="none"/>
                <w:lang w:val="en-US" w:eastAsia="zh-CN" w:bidi="ar"/>
              </w:rPr>
              <w:t>2.</w:t>
            </w:r>
            <w:r>
              <w:rPr>
                <w:rFonts w:hint="eastAsia" w:ascii="仿宋" w:eastAsia="仿宋" w:cs="仿宋"/>
                <w:color w:val="000000"/>
                <w:kern w:val="0"/>
                <w:sz w:val="18"/>
                <w:szCs w:val="18"/>
                <w:u w:val="none"/>
                <w:lang w:val="en-US" w:eastAsia="zh-CN" w:bidi="ar"/>
              </w:rPr>
              <w:t>制冷与空调作业（制冷与空调设备运行操作作业、制冷与空调设备安装修理作业），</w:t>
            </w:r>
            <w:r>
              <w:rPr>
                <w:rFonts w:hint="eastAsia" w:ascii="仿宋" w:cs="仿宋"/>
                <w:color w:val="000000"/>
                <w:kern w:val="0"/>
                <w:sz w:val="18"/>
                <w:szCs w:val="18"/>
                <w:u w:val="none"/>
                <w:lang w:val="en-US" w:eastAsia="zh-CN" w:bidi="ar"/>
              </w:rPr>
              <w:t>3.</w:t>
            </w:r>
            <w:r>
              <w:rPr>
                <w:rFonts w:hint="eastAsia" w:ascii="仿宋" w:eastAsia="仿宋" w:cs="仿宋"/>
                <w:color w:val="000000"/>
                <w:kern w:val="0"/>
                <w:sz w:val="18"/>
                <w:szCs w:val="18"/>
                <w:u w:val="none"/>
                <w:lang w:val="en-US" w:eastAsia="zh-CN" w:bidi="ar"/>
              </w:rPr>
              <w:t>危险化学品安全作业（化工自动化控制仪表作业）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1673" w:hRule="atLeast"/>
          <w:jc w:val="center"/>
        </w:trPr>
        <w:tc>
          <w:tcPr>
            <w:tcW w:w="945" w:type="dxa"/>
            <w:vMerge w:val="continue"/>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5</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陕西恒岳新辉安全技术服务有限公司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91610893MA70ETGG8T</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陕西省榆林市高新技术产业园区阳光城7号楼106号商铺</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康昌丽</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15709123333</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杨小静</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15709123333</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增项：非煤矿山、烟花爆竹经营、金属冶炼</w:t>
            </w: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1.电工作业（电力电缆作业、继电保护作业、电气试验作业、防爆电气作业），2.高处作业（登高架设作业），3.金属非金属矿山安全作业〔金属非金属矿井通风作业、尾矿作业、金属非金属矿山安全检查作业（小型露天采石场）、金属非金属矿山提升机操作作业、金属非金属矿山支柱作业、金属非金属矿山排水作业〕，4.制冷与空调作业（制冷与空调设备运行操作作业、制冷与空调设备安装修理作业），5.危险化学品安全作业〔硝化工艺作业、氯化工艺作业、合成氨工艺作业、裂解（裂化）工艺作业、加氢工艺作业、聚合工艺作业、氧化工艺作业、化工自动化控制仪表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2183" w:hRule="atLeast"/>
          <w:jc w:val="center"/>
        </w:trPr>
        <w:tc>
          <w:tcPr>
            <w:tcW w:w="94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变更（机构更名并增项）</w:t>
            </w: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6</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陕西嘉豪顺安信息科技有限公司</w:t>
            </w:r>
            <w:r>
              <w:rPr>
                <w:rFonts w:hint="eastAsia" w:ascii="仿宋" w:cs="仿宋"/>
                <w:color w:val="000000"/>
                <w:kern w:val="0"/>
                <w:sz w:val="18"/>
                <w:szCs w:val="18"/>
                <w:u w:val="none"/>
                <w:lang w:val="en-US" w:eastAsia="zh-CN" w:bidi="ar"/>
              </w:rPr>
              <w:t>（原名：咸阳市企业商务管理技能培训学校）</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91610402MA6Y08AP9D</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陕西省咸阳市秦都区秦皇南路铁干院后楼301室</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曹  博</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13891050566</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张崇巍</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18702920884</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增项：高处作业（登高架设作业、高处安装维护拆除作业）</w:t>
            </w: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2183" w:hRule="atLeast"/>
          <w:jc w:val="center"/>
        </w:trPr>
        <w:tc>
          <w:tcPr>
            <w:tcW w:w="94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变更（场地变更）</w:t>
            </w: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7</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陕西众安军诚安防科技有限公司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91610402MA6XWFE297</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陕西省咸阳市秦都区玉泉西路旭光光明城南门二楼</w:t>
            </w:r>
            <w:r>
              <w:rPr>
                <w:rFonts w:hint="eastAsia" w:ascii="仿宋" w:cs="仿宋"/>
                <w:color w:val="000000"/>
                <w:kern w:val="0"/>
                <w:sz w:val="18"/>
                <w:szCs w:val="18"/>
                <w:u w:val="none"/>
                <w:lang w:val="en-US" w:eastAsia="zh-CN" w:bidi="ar"/>
              </w:rPr>
              <w:t>（原地址：陕西省咸阳市秦都区宝泉路116号）</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解强勃</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13369123777</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解强勃</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13369123777</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cs="仿宋"/>
                <w:color w:val="000000"/>
                <w:kern w:val="0"/>
                <w:sz w:val="18"/>
                <w:szCs w:val="18"/>
                <w:u w:val="none"/>
                <w:lang w:val="en-US" w:eastAsia="zh-CN" w:bidi="ar"/>
              </w:rPr>
            </w:pP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2183" w:hRule="atLeast"/>
          <w:jc w:val="center"/>
        </w:trPr>
        <w:tc>
          <w:tcPr>
            <w:tcW w:w="94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变更（场地变更并增项）</w:t>
            </w: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8</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陕西长翔职业技能培训有限公司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91610204MA6X79W552</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陕西省铜川市耀州区咸丰路街道办任家庄村铜川数字经济产业园1号楼</w:t>
            </w:r>
            <w:r>
              <w:rPr>
                <w:rFonts w:hint="eastAsia" w:ascii="仿宋" w:cs="仿宋"/>
                <w:color w:val="000000"/>
                <w:kern w:val="0"/>
                <w:sz w:val="18"/>
                <w:szCs w:val="18"/>
                <w:u w:val="none"/>
                <w:lang w:val="en-US" w:eastAsia="zh-CN" w:bidi="ar"/>
              </w:rPr>
              <w:t>（原地址：陕西省铜川市耀州区锦阳路南段西侧）</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徐启明</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13399183141</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徐  娜</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17791511660</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增项：非煤矿山、危险化学品生产和经营、烟花爆竹经营、金属冶炼、一般行业</w:t>
            </w: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cs="仿宋"/>
                <w:color w:val="000000"/>
                <w:kern w:val="0"/>
                <w:sz w:val="18"/>
                <w:szCs w:val="18"/>
                <w:u w:val="none"/>
                <w:lang w:val="en-US" w:eastAsia="zh-CN" w:bidi="ar"/>
              </w:rPr>
            </w:pP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p>
        </w:tc>
      </w:tr>
      <w:tr>
        <w:tblPrEx>
          <w:tblLayout w:type="fixed"/>
        </w:tblPrEx>
        <w:trPr>
          <w:trHeight w:val="2183" w:hRule="atLeast"/>
          <w:jc w:val="center"/>
        </w:trPr>
        <w:tc>
          <w:tcPr>
            <w:tcW w:w="94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变更（法定代表人变更）</w:t>
            </w:r>
          </w:p>
        </w:tc>
        <w:tc>
          <w:tcPr>
            <w:tcW w:w="51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9</w:t>
            </w:r>
          </w:p>
        </w:tc>
        <w:tc>
          <w:tcPr>
            <w:tcW w:w="11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靖边县志恒职业技能培训学校有限公司</w:t>
            </w:r>
          </w:p>
        </w:tc>
        <w:tc>
          <w:tcPr>
            <w:tcW w:w="183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91610824MA70CCUD5A</w:t>
            </w:r>
          </w:p>
        </w:tc>
        <w:tc>
          <w:tcPr>
            <w:tcW w:w="1669"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both"/>
              <w:textAlignment w:val="center"/>
              <w:rPr>
                <w:rFonts w:hint="eastAsia" w:ascii="仿宋" w:eastAsia="仿宋" w:cs="仿宋"/>
                <w:color w:val="000000"/>
                <w:kern w:val="0"/>
                <w:sz w:val="18"/>
                <w:szCs w:val="18"/>
                <w:u w:val="none"/>
                <w:lang w:val="en-US" w:eastAsia="zh-CN" w:bidi="ar"/>
              </w:rPr>
            </w:pPr>
            <w:r>
              <w:rPr>
                <w:rFonts w:hint="eastAsia" w:ascii="仿宋" w:eastAsia="仿宋" w:cs="仿宋"/>
                <w:color w:val="000000"/>
                <w:kern w:val="0"/>
                <w:sz w:val="18"/>
                <w:szCs w:val="18"/>
                <w:u w:val="none"/>
                <w:lang w:val="en-US" w:eastAsia="zh-CN" w:bidi="ar"/>
              </w:rPr>
              <w:t>陕西省榆林市靖边县永康东路3号</w:t>
            </w:r>
          </w:p>
        </w:tc>
        <w:tc>
          <w:tcPr>
            <w:tcW w:w="813"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王  瑞</w:t>
            </w:r>
          </w:p>
        </w:tc>
        <w:tc>
          <w:tcPr>
            <w:tcW w:w="1096"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13484442952</w:t>
            </w:r>
          </w:p>
        </w:tc>
        <w:tc>
          <w:tcPr>
            <w:tcW w:w="740"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王  瑞</w:t>
            </w:r>
          </w:p>
        </w:tc>
        <w:tc>
          <w:tcPr>
            <w:tcW w:w="1087"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13484442952</w:t>
            </w:r>
          </w:p>
        </w:tc>
        <w:tc>
          <w:tcPr>
            <w:tcW w:w="1950" w:type="dxa"/>
            <w:gridSpan w:val="2"/>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p>
        </w:tc>
        <w:tc>
          <w:tcPr>
            <w:tcW w:w="292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left"/>
              <w:textAlignment w:val="center"/>
              <w:rPr>
                <w:rFonts w:hint="eastAsia" w:ascii="仿宋" w:cs="仿宋"/>
                <w:color w:val="000000"/>
                <w:kern w:val="0"/>
                <w:sz w:val="18"/>
                <w:szCs w:val="18"/>
                <w:u w:val="none"/>
                <w:lang w:val="en-US" w:eastAsia="zh-CN" w:bidi="ar"/>
              </w:rPr>
            </w:pPr>
          </w:p>
        </w:tc>
        <w:tc>
          <w:tcPr>
            <w:tcW w:w="705" w:type="dxa"/>
            <w:tcBorders>
              <w:tl2br w:val="nil"/>
              <w:tr2bl w:val="nil"/>
            </w:tcBorders>
            <w:tcMar>
              <w:top w:w="15" w:type="dxa"/>
              <w:left w:w="15" w:type="dxa"/>
              <w:right w:w="15" w:type="dxa"/>
            </w:tcMar>
            <w:vAlign w:val="center"/>
          </w:tcPr>
          <w:p>
            <w:pPr>
              <w:keepNext w:val="0"/>
              <w:keepLines w:val="0"/>
              <w:widowControl/>
              <w:suppressLineNumbers w:val="0"/>
              <w:spacing w:line="240" w:lineRule="exact"/>
              <w:jc w:val="center"/>
              <w:textAlignment w:val="center"/>
              <w:rPr>
                <w:rFonts w:hint="eastAsia" w:ascii="仿宋" w:cs="仿宋"/>
                <w:color w:val="000000"/>
                <w:kern w:val="0"/>
                <w:sz w:val="18"/>
                <w:szCs w:val="18"/>
                <w:u w:val="none"/>
                <w:lang w:val="en-US" w:eastAsia="zh-CN" w:bidi="ar"/>
              </w:rPr>
            </w:pPr>
            <w:r>
              <w:rPr>
                <w:rFonts w:hint="eastAsia" w:ascii="仿宋" w:cs="仿宋"/>
                <w:color w:val="000000"/>
                <w:kern w:val="0"/>
                <w:sz w:val="18"/>
                <w:szCs w:val="18"/>
                <w:u w:val="none"/>
                <w:lang w:val="en-US" w:eastAsia="zh-CN" w:bidi="ar"/>
              </w:rPr>
              <w:t>原法定代表人工作变动</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00000000" w:usb1="00000000" w:usb2="00000016" w:usb3="00000000" w:csb0="0004001F" w:csb1="00000000"/>
  </w:font>
  <w:font w:name="Arial Unicode MS">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2024-04-15T10:50:00Z</dcterms:created>
  <dc:creator>安之若素i</dc:creator>
  <cp:lastModifiedBy>iPhone</cp:lastModifiedBy>
  <dcterms:modified xsi:type="dcterms:W3CDTF">2024-04-28T12:12:54Z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2052-12.12.0</vt:lpwstr>
  </property>
  <property fmtid="{D5CDD505-2E9C-101B-9397-08002B2CF9AE}" pid="3" name="ICV">
    <vt:lpwstr>3AD67141593440E18CAF5AA37DA1DFAC_11</vt:lpwstr>
  </property>
</Properties>
</file>