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w:t>
      </w:r>
      <w:r>
        <w:rPr>
          <w:rFonts w:hint="eastAsia" w:asciiTheme="minorEastAsia" w:hAnsiTheme="minorEastAsia" w:eastAsiaTheme="minorEastAsia" w:cstheme="minorEastAsia"/>
          <w:sz w:val="32"/>
          <w:szCs w:val="32"/>
          <w:lang w:val="en-US" w:eastAsia="zh-CN"/>
        </w:rPr>
        <w:t>2</w:t>
      </w:r>
      <w:bookmarkStart w:id="0" w:name="_GoBack"/>
      <w:bookmarkEnd w:id="0"/>
    </w:p>
    <w:p>
      <w:pPr>
        <w:rPr>
          <w:rFonts w:ascii="宋体" w:hAnsi="宋体" w:cs="Times New Roman"/>
          <w:sz w:val="44"/>
          <w:szCs w:val="44"/>
        </w:rPr>
      </w:pPr>
    </w:p>
    <w:p>
      <w:pPr>
        <w:rPr>
          <w:rFonts w:ascii="宋体" w:hAnsi="宋体" w:cs="Times New Roman"/>
          <w:sz w:val="44"/>
          <w:szCs w:val="44"/>
        </w:rPr>
      </w:pPr>
    </w:p>
    <w:p>
      <w:pPr>
        <w:spacing w:line="700" w:lineRule="exact"/>
        <w:jc w:val="center"/>
        <w:rPr>
          <w:rFonts w:ascii="宋体" w:hAnsi="宋体" w:eastAsia="方正小标宋_GBK" w:cs="方正小标宋_GBK"/>
          <w:spacing w:val="44"/>
          <w:sz w:val="44"/>
          <w:szCs w:val="44"/>
        </w:rPr>
      </w:pPr>
      <w:r>
        <w:rPr>
          <w:rFonts w:hint="eastAsia" w:ascii="宋体" w:hAnsi="宋体" w:eastAsia="方正小标宋_GBK" w:cs="方正小标宋_GBK"/>
          <w:spacing w:val="44"/>
          <w:sz w:val="44"/>
          <w:szCs w:val="44"/>
        </w:rPr>
        <w:t>《危险化学品重大危险源安全监控</w:t>
      </w:r>
    </w:p>
    <w:p>
      <w:pPr>
        <w:spacing w:line="700" w:lineRule="exact"/>
        <w:jc w:val="center"/>
        <w:rPr>
          <w:rFonts w:ascii="宋体" w:hAnsi="宋体" w:eastAsia="方正小标宋_GBK" w:cs="方正小标宋_GBK"/>
          <w:spacing w:val="44"/>
          <w:sz w:val="44"/>
          <w:szCs w:val="44"/>
        </w:rPr>
      </w:pPr>
      <w:r>
        <w:rPr>
          <w:rFonts w:hint="eastAsia" w:ascii="宋体" w:hAnsi="宋体" w:eastAsia="方正小标宋_GBK" w:cs="方正小标宋_GBK"/>
          <w:spacing w:val="44"/>
          <w:sz w:val="44"/>
          <w:szCs w:val="44"/>
        </w:rPr>
        <w:t>技术规范（征求意见稿）》</w:t>
      </w:r>
    </w:p>
    <w:p>
      <w:pPr>
        <w:spacing w:line="700" w:lineRule="exact"/>
        <w:jc w:val="center"/>
        <w:rPr>
          <w:rFonts w:ascii="宋体" w:hAnsi="宋体" w:eastAsia="方正小标宋_GBK" w:cs="方正小标宋_GBK"/>
          <w:b/>
          <w:spacing w:val="44"/>
          <w:sz w:val="44"/>
          <w:szCs w:val="44"/>
        </w:rPr>
      </w:pPr>
    </w:p>
    <w:p>
      <w:pPr>
        <w:spacing w:line="700" w:lineRule="exact"/>
        <w:jc w:val="center"/>
        <w:rPr>
          <w:rFonts w:ascii="宋体" w:hAnsi="宋体" w:eastAsia="方正小标宋_GBK" w:cs="方正小标宋_GBK"/>
          <w:b/>
          <w:spacing w:val="44"/>
          <w:sz w:val="44"/>
          <w:szCs w:val="44"/>
        </w:rPr>
      </w:pPr>
    </w:p>
    <w:p>
      <w:pPr>
        <w:spacing w:line="700" w:lineRule="exact"/>
        <w:jc w:val="center"/>
        <w:rPr>
          <w:rFonts w:ascii="宋体" w:hAnsi="宋体" w:eastAsia="方正小标宋_GBK" w:cs="方正小标宋_GBK"/>
          <w:b/>
          <w:spacing w:val="44"/>
          <w:sz w:val="44"/>
          <w:szCs w:val="44"/>
        </w:rPr>
      </w:pPr>
    </w:p>
    <w:p>
      <w:pPr>
        <w:spacing w:line="700" w:lineRule="exact"/>
        <w:jc w:val="center"/>
        <w:rPr>
          <w:rFonts w:ascii="宋体" w:hAnsi="宋体" w:eastAsia="方正小标宋_GBK" w:cs="方正小标宋_GBK"/>
          <w:spacing w:val="44"/>
          <w:sz w:val="44"/>
          <w:szCs w:val="44"/>
        </w:rPr>
      </w:pPr>
      <w:r>
        <w:rPr>
          <w:rFonts w:hint="eastAsia" w:ascii="宋体" w:hAnsi="宋体" w:eastAsia="方正小标宋_GBK" w:cs="方正小标宋_GBK"/>
          <w:spacing w:val="44"/>
          <w:sz w:val="44"/>
          <w:szCs w:val="44"/>
        </w:rPr>
        <w:t>编制说明</w:t>
      </w:r>
    </w:p>
    <w:p>
      <w:pPr>
        <w:jc w:val="center"/>
        <w:rPr>
          <w:rFonts w:ascii="宋体" w:hAnsi="宋体"/>
          <w:spacing w:val="44"/>
          <w:sz w:val="32"/>
          <w:szCs w:val="32"/>
        </w:rPr>
      </w:pPr>
    </w:p>
    <w:p>
      <w:pPr>
        <w:jc w:val="center"/>
        <w:rPr>
          <w:rFonts w:ascii="宋体" w:hAnsi="宋体"/>
          <w:spacing w:val="44"/>
          <w:sz w:val="32"/>
          <w:szCs w:val="32"/>
        </w:rPr>
      </w:pPr>
    </w:p>
    <w:p>
      <w:pPr>
        <w:jc w:val="center"/>
        <w:rPr>
          <w:rFonts w:ascii="宋体" w:hAnsi="宋体"/>
          <w:spacing w:val="44"/>
          <w:sz w:val="32"/>
          <w:szCs w:val="32"/>
        </w:rPr>
      </w:pPr>
    </w:p>
    <w:p>
      <w:pPr>
        <w:jc w:val="center"/>
        <w:rPr>
          <w:rFonts w:ascii="宋体" w:hAnsi="宋体"/>
          <w:spacing w:val="44"/>
          <w:sz w:val="32"/>
          <w:szCs w:val="32"/>
        </w:rPr>
      </w:pPr>
    </w:p>
    <w:p>
      <w:pPr>
        <w:jc w:val="center"/>
        <w:rPr>
          <w:rFonts w:ascii="宋体" w:hAnsi="宋体"/>
          <w:spacing w:val="44"/>
          <w:sz w:val="32"/>
          <w:szCs w:val="32"/>
        </w:rPr>
      </w:pPr>
    </w:p>
    <w:p>
      <w:pPr>
        <w:jc w:val="center"/>
        <w:rPr>
          <w:rFonts w:ascii="宋体" w:hAnsi="宋体" w:eastAsia="方正小标宋_GBK" w:cs="方正小标宋_GBK"/>
          <w:spacing w:val="44"/>
          <w:sz w:val="32"/>
          <w:szCs w:val="32"/>
        </w:rPr>
      </w:pPr>
    </w:p>
    <w:p>
      <w:pPr>
        <w:pStyle w:val="2"/>
        <w:ind w:firstLine="240"/>
        <w:jc w:val="center"/>
      </w:pPr>
    </w:p>
    <w:p>
      <w:pPr>
        <w:pStyle w:val="2"/>
        <w:ind w:firstLine="240"/>
        <w:jc w:val="center"/>
      </w:pPr>
    </w:p>
    <w:p>
      <w:pPr>
        <w:pStyle w:val="2"/>
        <w:ind w:firstLine="408"/>
        <w:jc w:val="center"/>
        <w:rPr>
          <w:rFonts w:eastAsia="方正小标宋_GBK" w:cs="方正小标宋_GBK"/>
          <w:spacing w:val="44"/>
          <w:sz w:val="32"/>
          <w:szCs w:val="32"/>
        </w:rPr>
      </w:pPr>
    </w:p>
    <w:p>
      <w:pPr>
        <w:jc w:val="center"/>
        <w:rPr>
          <w:rFonts w:ascii="宋体" w:hAnsi="宋体" w:cs="方正小标宋_GBK" w:eastAsiaTheme="majorEastAsia"/>
          <w:b/>
          <w:bCs/>
          <w:spacing w:val="44"/>
          <w:sz w:val="32"/>
          <w:szCs w:val="32"/>
        </w:rPr>
      </w:pPr>
      <w:r>
        <w:rPr>
          <w:rFonts w:ascii="宋体" w:hAnsi="宋体" w:cs="方正小标宋_GBK" w:eastAsiaTheme="majorEastAsia"/>
          <w:b/>
          <w:bCs/>
          <w:spacing w:val="44"/>
          <w:sz w:val="32"/>
          <w:szCs w:val="32"/>
        </w:rPr>
        <w:t>标准修订工作组</w:t>
      </w:r>
    </w:p>
    <w:p>
      <w:pPr>
        <w:jc w:val="center"/>
        <w:rPr>
          <w:rFonts w:ascii="宋体" w:hAnsi="宋体" w:cs="方正小标宋_GBK" w:eastAsiaTheme="majorEastAsia"/>
          <w:b/>
          <w:bCs/>
          <w:spacing w:val="44"/>
          <w:sz w:val="32"/>
          <w:szCs w:val="32"/>
        </w:rPr>
      </w:pPr>
      <w:r>
        <w:rPr>
          <w:rFonts w:hint="eastAsia" w:ascii="宋体" w:hAnsi="宋体" w:cs="方正小标宋_GBK" w:eastAsiaTheme="majorEastAsia"/>
          <w:b/>
          <w:bCs/>
          <w:spacing w:val="44"/>
          <w:sz w:val="32"/>
          <w:szCs w:val="32"/>
        </w:rPr>
        <w:t>二〇二四年六月</w:t>
      </w:r>
    </w:p>
    <w:p>
      <w:pPr>
        <w:jc w:val="left"/>
        <w:rPr>
          <w:rFonts w:ascii="宋体" w:hAnsi="宋体"/>
          <w:spacing w:val="44"/>
          <w:sz w:val="32"/>
          <w:szCs w:val="32"/>
        </w:rPr>
      </w:pPr>
      <w:r>
        <w:rPr>
          <w:rFonts w:ascii="宋体" w:hAnsi="宋体"/>
          <w:spacing w:val="44"/>
          <w:sz w:val="32"/>
          <w:szCs w:val="32"/>
        </w:rPr>
        <w:br w:type="page"/>
      </w:r>
    </w:p>
    <w:p>
      <w:pPr>
        <w:spacing w:line="560" w:lineRule="exact"/>
        <w:ind w:firstLine="640" w:firstLineChars="200"/>
        <w:rPr>
          <w:rFonts w:ascii="宋体" w:hAnsi="宋体" w:eastAsia="黑体"/>
          <w:color w:val="000000"/>
          <w:sz w:val="32"/>
          <w:szCs w:val="32"/>
        </w:rPr>
      </w:pPr>
      <w:r>
        <w:rPr>
          <w:rFonts w:ascii="宋体" w:hAnsi="宋体" w:eastAsia="黑体"/>
          <w:color w:val="000000"/>
          <w:sz w:val="32"/>
          <w:szCs w:val="32"/>
        </w:rPr>
        <w:t>一、工作简况</w:t>
      </w:r>
    </w:p>
    <w:p>
      <w:pPr>
        <w:widowControl w:val="0"/>
        <w:spacing w:line="560" w:lineRule="exact"/>
        <w:ind w:firstLine="642" w:firstLineChars="200"/>
        <w:rPr>
          <w:rFonts w:ascii="宋体" w:hAnsi="宋体" w:eastAsia="楷体_GB2312" w:cs="Times New Roman"/>
          <w:b/>
          <w:bCs/>
          <w:sz w:val="32"/>
          <w:szCs w:val="32"/>
          <w:shd w:val="clear" w:color="auto" w:fill="FFFFFF"/>
        </w:rPr>
      </w:pPr>
      <w:r>
        <w:rPr>
          <w:rFonts w:hint="eastAsia" w:ascii="宋体" w:hAnsi="宋体" w:eastAsia="楷体_GB2312" w:cs="Times New Roman"/>
          <w:b/>
          <w:bCs/>
          <w:sz w:val="32"/>
          <w:szCs w:val="32"/>
          <w:shd w:val="clear" w:color="auto" w:fill="FFFFFF"/>
        </w:rPr>
        <w:t>（一）编制背景</w:t>
      </w:r>
    </w:p>
    <w:p>
      <w:pPr>
        <w:spacing w:line="560" w:lineRule="exact"/>
        <w:ind w:firstLine="640" w:firstLineChars="200"/>
        <w:rPr>
          <w:rFonts w:ascii="宋体" w:hAnsi="宋体" w:eastAsia="仿宋_GB2312"/>
          <w:color w:val="000000"/>
          <w:sz w:val="32"/>
          <w:szCs w:val="32"/>
        </w:rPr>
      </w:pPr>
      <w:r>
        <w:rPr>
          <w:rFonts w:hint="eastAsia" w:ascii="宋体" w:hAnsi="宋体" w:eastAsia="黑体"/>
          <w:color w:val="000000"/>
          <w:sz w:val="32"/>
          <w:szCs w:val="32"/>
        </w:rPr>
        <w:t>一是</w:t>
      </w:r>
      <w:r>
        <w:rPr>
          <w:rFonts w:hint="eastAsia" w:ascii="宋体" w:hAnsi="宋体" w:eastAsia="仿宋_GB2312"/>
          <w:color w:val="000000"/>
          <w:sz w:val="32"/>
          <w:szCs w:val="32"/>
        </w:rPr>
        <w:t>当前我国已成为世界化工第一大国，化工总产值占世界总量的40%，危险化学品重大危险源企业7</w:t>
      </w:r>
      <w:r>
        <w:rPr>
          <w:rFonts w:ascii="宋体" w:hAnsi="宋体" w:eastAsia="仿宋_GB2312"/>
          <w:color w:val="000000"/>
          <w:sz w:val="32"/>
          <w:szCs w:val="32"/>
        </w:rPr>
        <w:t>000</w:t>
      </w:r>
      <w:r>
        <w:rPr>
          <w:rFonts w:hint="eastAsia" w:ascii="宋体" w:hAnsi="宋体" w:eastAsia="仿宋_GB2312"/>
          <w:color w:val="000000"/>
          <w:sz w:val="32"/>
          <w:szCs w:val="32"/>
        </w:rPr>
        <w:t>余家，危险化学品重大危险源2</w:t>
      </w:r>
      <w:r>
        <w:rPr>
          <w:rFonts w:ascii="宋体" w:hAnsi="宋体" w:eastAsia="仿宋_GB2312"/>
          <w:color w:val="000000"/>
          <w:sz w:val="32"/>
          <w:szCs w:val="32"/>
        </w:rPr>
        <w:t>.4</w:t>
      </w:r>
      <w:r>
        <w:rPr>
          <w:rFonts w:hint="eastAsia" w:ascii="宋体" w:hAnsi="宋体" w:eastAsia="仿宋_GB2312"/>
          <w:color w:val="000000"/>
          <w:sz w:val="32"/>
          <w:szCs w:val="32"/>
        </w:rPr>
        <w:t>万余处，具有数量多、分布广、管理基础薄弱、事故易发多发等特点，装备完善重大危险源安全监控设备设施，是有效防范化解重大危险源安全风险的基础性关键性措施。</w:t>
      </w:r>
    </w:p>
    <w:p>
      <w:pPr>
        <w:spacing w:line="560" w:lineRule="exact"/>
        <w:ind w:firstLine="640" w:firstLineChars="200"/>
        <w:rPr>
          <w:rFonts w:ascii="宋体" w:hAnsi="宋体" w:eastAsia="仿宋_GB2312"/>
          <w:color w:val="000000"/>
          <w:sz w:val="32"/>
          <w:szCs w:val="32"/>
        </w:rPr>
      </w:pPr>
      <w:r>
        <w:rPr>
          <w:rFonts w:hint="eastAsia" w:ascii="宋体" w:hAnsi="宋体" w:eastAsia="黑体"/>
          <w:color w:val="000000"/>
          <w:sz w:val="32"/>
          <w:szCs w:val="32"/>
        </w:rPr>
        <w:t>二是</w:t>
      </w:r>
      <w:r>
        <w:rPr>
          <w:rFonts w:hint="eastAsia" w:ascii="宋体" w:hAnsi="宋体" w:eastAsia="仿宋_GB2312"/>
          <w:color w:val="000000"/>
          <w:sz w:val="32"/>
          <w:szCs w:val="32"/>
        </w:rPr>
        <w:t>现行《易燃易爆罐区安全监控预警系统验收技术要求》（</w:t>
      </w:r>
      <w:r>
        <w:rPr>
          <w:rFonts w:ascii="宋体" w:hAnsi="宋体" w:eastAsia="仿宋_GB2312"/>
          <w:color w:val="000000"/>
          <w:sz w:val="32"/>
          <w:szCs w:val="32"/>
        </w:rPr>
        <w:t>GB 17681-1999</w:t>
      </w:r>
      <w:r>
        <w:rPr>
          <w:rFonts w:hint="eastAsia" w:ascii="宋体" w:hAnsi="宋体" w:eastAsia="仿宋_GB2312"/>
          <w:color w:val="000000"/>
          <w:sz w:val="32"/>
          <w:szCs w:val="32"/>
        </w:rPr>
        <w:t>）、《危险化学品重大危险源安全监控通用技术规范》（AQ 3035-2010）和《危险化学品重大危险源 罐区现场安全监控装备设置规范》（AQ 3036-2010）已经发布实施多年，部分条款已无法满足当前重大危险源安全风险防控的需求，且互相之间存在重复交叉等问题。</w:t>
      </w:r>
    </w:p>
    <w:p>
      <w:pPr>
        <w:spacing w:line="560" w:lineRule="exact"/>
        <w:ind w:firstLine="640" w:firstLineChars="200"/>
        <w:rPr>
          <w:rFonts w:ascii="宋体" w:hAnsi="宋体" w:eastAsia="仿宋_GB2312"/>
          <w:color w:val="000000"/>
          <w:sz w:val="32"/>
          <w:szCs w:val="32"/>
        </w:rPr>
      </w:pPr>
      <w:r>
        <w:rPr>
          <w:rFonts w:hint="eastAsia" w:ascii="宋体" w:hAnsi="宋体" w:eastAsia="黑体"/>
          <w:color w:val="000000"/>
          <w:sz w:val="32"/>
          <w:szCs w:val="32"/>
        </w:rPr>
        <w:t>三是</w:t>
      </w:r>
      <w:r>
        <w:rPr>
          <w:rFonts w:hint="eastAsia" w:ascii="宋体" w:hAnsi="宋体" w:eastAsia="仿宋_GB2312"/>
          <w:color w:val="000000"/>
          <w:sz w:val="32"/>
          <w:szCs w:val="32"/>
        </w:rPr>
        <w:t>近年来，危险化学品重大危险源安全监控系统的设计、设备制造、运行与检维修等发展较快，新的良好实践不断涌现，需根据当前应用现状重新梳理，优化提升相关技术标准要求，进一步规范提升危险化学品重大危险源安全风险防控水平。</w:t>
      </w:r>
    </w:p>
    <w:p>
      <w:pPr>
        <w:widowControl w:val="0"/>
        <w:spacing w:line="560" w:lineRule="exact"/>
        <w:ind w:firstLine="642" w:firstLineChars="200"/>
        <w:rPr>
          <w:rFonts w:ascii="宋体" w:hAnsi="宋体" w:eastAsia="楷体_GB2312" w:cs="Times New Roman"/>
          <w:b/>
          <w:bCs/>
          <w:sz w:val="32"/>
          <w:szCs w:val="32"/>
          <w:shd w:val="clear" w:color="auto" w:fill="FFFFFF"/>
        </w:rPr>
      </w:pPr>
      <w:r>
        <w:rPr>
          <w:rFonts w:hint="eastAsia" w:ascii="宋体" w:hAnsi="宋体" w:eastAsia="楷体_GB2312" w:cs="Times New Roman"/>
          <w:b/>
          <w:bCs/>
          <w:sz w:val="32"/>
          <w:szCs w:val="32"/>
          <w:shd w:val="clear" w:color="auto" w:fill="FFFFFF"/>
        </w:rPr>
        <w:t>（二）任务来源</w:t>
      </w:r>
    </w:p>
    <w:p>
      <w:pPr>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rPr>
        <w:t>2023年4月，国家标准化管理委员会发布《关于下达&lt;压力锅安全技术规范&gt;等36项强制性国家标准制修订计划及相关标准外文版计划的通知》（国标委发〔2023〕15号），项目名称为《危险化学品重大危险源安全监控预警技术规范》，归口部门应急管理部，计划编号20230465-Q-450。</w:t>
      </w:r>
    </w:p>
    <w:p>
      <w:pPr>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rPr>
        <w:t>本标准是以《易燃易爆罐区安全监控预警系统验收技术要求》</w:t>
      </w:r>
      <w:r>
        <w:rPr>
          <w:rFonts w:ascii="宋体" w:hAnsi="宋体" w:eastAsia="仿宋_GB2312"/>
          <w:sz w:val="32"/>
          <w:szCs w:val="32"/>
          <w:shd w:val="clear" w:color="auto" w:fill="FFFFFF"/>
        </w:rPr>
        <w:t xml:space="preserve">(GB 17681-1999)、《危险化学品重大危险源安全监控通用技术规范》(AQ 3035-2010)、《危险化学品重大危险源 </w:t>
      </w:r>
      <w:r>
        <w:rPr>
          <w:rFonts w:hint="eastAsia" w:ascii="宋体" w:hAnsi="宋体" w:eastAsia="仿宋_GB2312"/>
          <w:sz w:val="32"/>
          <w:szCs w:val="32"/>
          <w:shd w:val="clear" w:color="auto" w:fill="FFFFFF"/>
        </w:rPr>
        <w:t>罐区现场安全监控装备设置规范》</w:t>
      </w:r>
      <w:r>
        <w:rPr>
          <w:rFonts w:ascii="宋体" w:hAnsi="宋体" w:eastAsia="仿宋_GB2312"/>
          <w:sz w:val="32"/>
          <w:szCs w:val="32"/>
          <w:shd w:val="clear" w:color="auto" w:fill="FFFFFF"/>
        </w:rPr>
        <w:t>(AQ 3036-2010)</w:t>
      </w:r>
      <w:r>
        <w:rPr>
          <w:rFonts w:hint="eastAsia" w:ascii="宋体" w:hAnsi="宋体" w:eastAsia="仿宋_GB2312"/>
          <w:sz w:val="32"/>
          <w:szCs w:val="32"/>
          <w:shd w:val="clear" w:color="auto" w:fill="FFFFFF"/>
        </w:rPr>
        <w:t>为基础，结合危险化学品重大危险源安全监控技术新成果、新进展整合编制而成，是</w:t>
      </w:r>
      <w:r>
        <w:rPr>
          <w:rFonts w:hint="eastAsia" w:ascii="宋体" w:hAnsi="宋体" w:eastAsia="仿宋_GB2312"/>
          <w:color w:val="000000"/>
          <w:sz w:val="32"/>
          <w:szCs w:val="32"/>
        </w:rPr>
        <w:t>危险化学品重大危险源安全监控方面基础性的技术标准。</w:t>
      </w:r>
    </w:p>
    <w:p>
      <w:pPr>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rPr>
        <w:t>本标准为强制性国家标准。</w:t>
      </w:r>
    </w:p>
    <w:p>
      <w:pPr>
        <w:widowControl w:val="0"/>
        <w:spacing w:line="560" w:lineRule="exact"/>
        <w:ind w:firstLine="642" w:firstLineChars="200"/>
        <w:rPr>
          <w:rFonts w:ascii="宋体" w:hAnsi="宋体" w:eastAsia="楷体_GB2312" w:cs="Times New Roman"/>
          <w:b/>
          <w:bCs/>
          <w:sz w:val="32"/>
          <w:szCs w:val="32"/>
          <w:shd w:val="clear" w:color="auto" w:fill="FFFFFF"/>
        </w:rPr>
      </w:pPr>
      <w:r>
        <w:rPr>
          <w:rFonts w:hint="eastAsia" w:ascii="宋体" w:hAnsi="宋体" w:eastAsia="楷体_GB2312" w:cs="Times New Roman"/>
          <w:b/>
          <w:bCs/>
          <w:sz w:val="32"/>
          <w:szCs w:val="32"/>
          <w:shd w:val="clear" w:color="auto" w:fill="FFFFFF"/>
        </w:rPr>
        <w:t>（三）修订单位</w:t>
      </w:r>
    </w:p>
    <w:p>
      <w:pPr>
        <w:widowControl w:val="0"/>
        <w:spacing w:line="560" w:lineRule="exact"/>
        <w:ind w:firstLine="640" w:firstLineChars="200"/>
        <w:rPr>
          <w:rFonts w:ascii="宋体" w:hAnsi="宋体" w:eastAsia="仿宋_GB2312" w:cs="Times New Roman"/>
          <w:sz w:val="32"/>
          <w:szCs w:val="32"/>
          <w:shd w:val="clear" w:color="auto" w:fill="FFFFFF"/>
        </w:rPr>
      </w:pPr>
      <w:r>
        <w:rPr>
          <w:rFonts w:hint="eastAsia" w:ascii="宋体" w:hAnsi="宋体" w:eastAsia="仿宋_GB2312"/>
          <w:color w:val="000000"/>
          <w:sz w:val="32"/>
          <w:szCs w:val="32"/>
        </w:rPr>
        <w:t>中国安全生产科学研究院牵头，中国石化工程建设有限公司、中国寰球工程有限公司、中科合成油工程有限公司、中国石油集团安全环保技术研究院、</w:t>
      </w:r>
      <w:r>
        <w:rPr>
          <w:rFonts w:hint="eastAsia" w:ascii="宋体" w:hAnsi="宋体" w:eastAsia="仿宋_GB2312"/>
          <w:sz w:val="32"/>
          <w:szCs w:val="32"/>
          <w:shd w:val="clear" w:color="auto" w:fill="FFFFFF"/>
        </w:rPr>
        <w:t>中国石油天然气股份有限公司兰州石化分公司、独山子石化分公司、</w:t>
      </w:r>
      <w:r>
        <w:rPr>
          <w:rFonts w:hint="eastAsia" w:ascii="宋体" w:hAnsi="宋体" w:eastAsia="仿宋_GB2312"/>
          <w:color w:val="000000"/>
          <w:sz w:val="32"/>
          <w:szCs w:val="32"/>
        </w:rPr>
        <w:t>国家能源投资集团有限责任公司、</w:t>
      </w:r>
      <w:r>
        <w:rPr>
          <w:rFonts w:hint="eastAsia" w:ascii="宋体" w:hAnsi="宋体" w:eastAsia="仿宋_GB2312"/>
          <w:sz w:val="32"/>
          <w:szCs w:val="32"/>
          <w:shd w:val="clear" w:color="auto" w:fill="FFFFFF"/>
        </w:rPr>
        <w:t>汉威科技集团股份有限公司</w:t>
      </w:r>
      <w:r>
        <w:rPr>
          <w:rFonts w:hint="eastAsia" w:ascii="宋体" w:hAnsi="宋体" w:eastAsia="仿宋_GB2312"/>
          <w:color w:val="000000"/>
          <w:sz w:val="32"/>
          <w:szCs w:val="32"/>
        </w:rPr>
        <w:t>等参加修订工作</w:t>
      </w:r>
      <w:r>
        <w:rPr>
          <w:rFonts w:ascii="宋体" w:hAnsi="宋体" w:eastAsia="仿宋_GB2312" w:cs="Times New Roman"/>
          <w:sz w:val="32"/>
          <w:szCs w:val="32"/>
          <w:shd w:val="clear" w:color="auto" w:fill="FFFFFF"/>
        </w:rPr>
        <w:t>。</w:t>
      </w:r>
    </w:p>
    <w:p>
      <w:pPr>
        <w:widowControl w:val="0"/>
        <w:spacing w:line="560" w:lineRule="exact"/>
        <w:ind w:firstLine="642" w:firstLineChars="200"/>
        <w:rPr>
          <w:rFonts w:ascii="宋体" w:hAnsi="宋体" w:eastAsia="楷体_GB2312" w:cs="Times New Roman"/>
          <w:b/>
          <w:bCs/>
          <w:sz w:val="32"/>
          <w:szCs w:val="32"/>
          <w:shd w:val="clear" w:color="auto" w:fill="FFFFFF"/>
        </w:rPr>
      </w:pPr>
      <w:r>
        <w:rPr>
          <w:rFonts w:hint="eastAsia" w:ascii="宋体" w:hAnsi="宋体" w:eastAsia="楷体_GB2312" w:cs="Times New Roman"/>
          <w:b/>
          <w:bCs/>
          <w:sz w:val="32"/>
          <w:szCs w:val="32"/>
          <w:shd w:val="clear" w:color="auto" w:fill="FFFFFF"/>
        </w:rPr>
        <w:t>（四）主要起草过程</w:t>
      </w:r>
    </w:p>
    <w:p>
      <w:pPr>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rPr>
        <w:t>2023年5月至6月，成立了由中国安全生产科学研究院牵头的标准修订工作组，明确了编制原则及各相关参与单位的任务分工。</w:t>
      </w:r>
    </w:p>
    <w:p>
      <w:pPr>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rPr>
        <w:t>2023年7月至10月，工作组查阅了国内外重大危险源安全监控系统的相关法律法规制度标准，调研了当前国内重大危险源现状及需求，优化完善形成了初稿。</w:t>
      </w:r>
    </w:p>
    <w:p>
      <w:pPr>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rPr>
        <w:t>2023年11月至3月，工作组多次组织对标准的难点问题和技术细节进行研讨，对标准内容进行了优化调整，形成了初步征求意见稿。</w:t>
      </w:r>
    </w:p>
    <w:p>
      <w:pPr>
        <w:spacing w:line="560" w:lineRule="exact"/>
        <w:ind w:firstLine="640" w:firstLineChars="200"/>
        <w:rPr>
          <w:rFonts w:ascii="宋体" w:hAnsi="宋体" w:eastAsia="仿宋_GB2312"/>
          <w:sz w:val="32"/>
          <w:szCs w:val="32"/>
          <w:shd w:val="clear" w:color="auto" w:fill="FFFFFF"/>
        </w:rPr>
      </w:pPr>
      <w:r>
        <w:rPr>
          <w:rFonts w:hint="eastAsia" w:ascii="宋体" w:hAnsi="宋体" w:eastAsia="仿宋_GB2312"/>
          <w:sz w:val="32"/>
          <w:szCs w:val="32"/>
          <w:shd w:val="clear" w:color="auto" w:fill="FFFFFF"/>
        </w:rPr>
        <w:t>2024年</w:t>
      </w:r>
      <w:r>
        <w:rPr>
          <w:rFonts w:ascii="宋体" w:hAnsi="宋体" w:eastAsia="仿宋_GB2312"/>
          <w:sz w:val="32"/>
          <w:szCs w:val="32"/>
          <w:shd w:val="clear" w:color="auto" w:fill="FFFFFF"/>
        </w:rPr>
        <w:t>4</w:t>
      </w:r>
      <w:r>
        <w:rPr>
          <w:rFonts w:hint="eastAsia" w:ascii="宋体" w:hAnsi="宋体" w:eastAsia="仿宋_GB2312"/>
          <w:sz w:val="32"/>
          <w:szCs w:val="32"/>
          <w:shd w:val="clear" w:color="auto" w:fill="FFFFFF"/>
        </w:rPr>
        <w:t>月至6月，工作组组织</w:t>
      </w:r>
      <w:r>
        <w:rPr>
          <w:rFonts w:hint="eastAsia" w:ascii="宋体" w:hAnsi="宋体" w:eastAsia="仿宋_GB2312" w:cs="Times New Roman"/>
          <w:sz w:val="32"/>
          <w:szCs w:val="32"/>
        </w:rPr>
        <w:t>对标准多次优化完善，</w:t>
      </w:r>
      <w:r>
        <w:rPr>
          <w:rFonts w:hint="eastAsia" w:ascii="宋体" w:hAnsi="宋体" w:eastAsia="仿宋_GB2312" w:cs="Times New Roman"/>
          <w:bCs/>
          <w:sz w:val="32"/>
          <w:szCs w:val="32"/>
        </w:rPr>
        <w:t>形成了公开征求意见稿</w:t>
      </w:r>
      <w:r>
        <w:rPr>
          <w:rFonts w:hint="eastAsia" w:ascii="宋体" w:hAnsi="宋体" w:eastAsia="仿宋_GB2312" w:cs="Times New Roman"/>
          <w:color w:val="000000"/>
          <w:sz w:val="32"/>
          <w:szCs w:val="32"/>
        </w:rPr>
        <w:t>。</w:t>
      </w:r>
    </w:p>
    <w:p>
      <w:pPr>
        <w:spacing w:line="360" w:lineRule="auto"/>
        <w:ind w:firstLine="640" w:firstLineChars="200"/>
        <w:jc w:val="left"/>
        <w:rPr>
          <w:rFonts w:ascii="宋体" w:hAnsi="宋体" w:eastAsia="黑体"/>
          <w:color w:val="000000"/>
          <w:sz w:val="32"/>
          <w:szCs w:val="32"/>
        </w:rPr>
      </w:pPr>
      <w:r>
        <w:rPr>
          <w:rFonts w:hint="eastAsia" w:ascii="宋体" w:hAnsi="宋体" w:eastAsia="黑体"/>
          <w:color w:val="000000"/>
          <w:sz w:val="32"/>
          <w:szCs w:val="32"/>
        </w:rPr>
        <w:t xml:space="preserve">二、标准编制原则和强制性国家标准主要技术要求的论据 </w:t>
      </w:r>
    </w:p>
    <w:p>
      <w:pPr>
        <w:widowControl w:val="0"/>
        <w:spacing w:line="560" w:lineRule="exact"/>
        <w:ind w:firstLine="642" w:firstLineChars="200"/>
        <w:rPr>
          <w:rFonts w:ascii="宋体" w:hAnsi="宋体" w:eastAsia="楷体_GB2312" w:cs="Times New Roman"/>
          <w:b/>
          <w:bCs/>
          <w:sz w:val="32"/>
          <w:szCs w:val="32"/>
          <w:shd w:val="clear" w:color="auto" w:fill="FFFFFF"/>
        </w:rPr>
      </w:pPr>
      <w:r>
        <w:rPr>
          <w:rFonts w:hint="eastAsia" w:ascii="宋体" w:hAnsi="宋体" w:eastAsia="楷体_GB2312" w:cs="Times New Roman"/>
          <w:b/>
          <w:bCs/>
          <w:sz w:val="32"/>
          <w:szCs w:val="32"/>
          <w:shd w:val="clear" w:color="auto" w:fill="FFFFFF"/>
        </w:rPr>
        <w:t>（一）标准编制原则</w:t>
      </w:r>
    </w:p>
    <w:p>
      <w:pPr>
        <w:widowControl w:val="0"/>
        <w:spacing w:line="560" w:lineRule="exact"/>
        <w:ind w:firstLine="642" w:firstLineChars="200"/>
        <w:rPr>
          <w:rFonts w:ascii="宋体" w:hAnsi="宋体" w:eastAsia="仿宋_GB2312"/>
          <w:b/>
          <w:bCs/>
          <w:color w:val="000000"/>
          <w:sz w:val="32"/>
          <w:szCs w:val="32"/>
        </w:rPr>
      </w:pPr>
      <w:r>
        <w:rPr>
          <w:rFonts w:hint="eastAsia" w:ascii="宋体" w:hAnsi="宋体" w:eastAsia="仿宋_GB2312"/>
          <w:b/>
          <w:bCs/>
          <w:color w:val="000000"/>
          <w:sz w:val="32"/>
          <w:szCs w:val="32"/>
        </w:rPr>
        <w:t>1.合规性原则</w:t>
      </w:r>
    </w:p>
    <w:p>
      <w:pPr>
        <w:widowControl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本标准按照GB/T 1.1-2020《标准化工作导则 第1部分:标准化文件的结构和起草规则》的要求进行编写,符合《中华人民共和国安全生产法》、《中华人民共和国突发事件应对法》等现行法律、法规规定。</w:t>
      </w:r>
    </w:p>
    <w:p>
      <w:pPr>
        <w:widowControl w:val="0"/>
        <w:spacing w:line="560" w:lineRule="exact"/>
        <w:ind w:firstLine="642" w:firstLineChars="200"/>
        <w:rPr>
          <w:rFonts w:ascii="宋体" w:hAnsi="宋体" w:eastAsia="仿宋_GB2312"/>
          <w:b/>
          <w:bCs/>
          <w:color w:val="000000"/>
          <w:sz w:val="32"/>
          <w:szCs w:val="32"/>
        </w:rPr>
      </w:pPr>
      <w:r>
        <w:rPr>
          <w:rFonts w:hint="eastAsia" w:ascii="宋体" w:hAnsi="宋体" w:eastAsia="仿宋_GB2312"/>
          <w:b/>
          <w:bCs/>
          <w:color w:val="000000"/>
          <w:sz w:val="32"/>
          <w:szCs w:val="32"/>
        </w:rPr>
        <w:t>2.适用性原则</w:t>
      </w:r>
    </w:p>
    <w:p>
      <w:pPr>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rPr>
        <w:t>本标准</w:t>
      </w:r>
      <w:r>
        <w:rPr>
          <w:rFonts w:hint="eastAsia" w:ascii="宋体" w:hAnsi="宋体" w:eastAsia="仿宋_GB2312"/>
          <w:color w:val="000000"/>
          <w:sz w:val="32"/>
          <w:szCs w:val="32"/>
        </w:rPr>
        <w:t>适用于化工行业新建、改建、扩建危险化学品建设项目的重大危险源安全监控系统的设计、施工安装、质量和验收与评估、运行与检维修等全生命周期各方面。</w:t>
      </w:r>
    </w:p>
    <w:p>
      <w:pPr>
        <w:widowControl w:val="0"/>
        <w:spacing w:line="560" w:lineRule="exact"/>
        <w:ind w:firstLine="642" w:firstLineChars="200"/>
        <w:rPr>
          <w:rFonts w:ascii="宋体" w:hAnsi="宋体" w:eastAsia="仿宋_GB2312"/>
          <w:b/>
          <w:bCs/>
          <w:color w:val="000000"/>
          <w:sz w:val="32"/>
          <w:szCs w:val="32"/>
        </w:rPr>
      </w:pPr>
      <w:r>
        <w:rPr>
          <w:rFonts w:hint="eastAsia" w:ascii="宋体" w:hAnsi="宋体" w:eastAsia="仿宋_GB2312"/>
          <w:b/>
          <w:bCs/>
          <w:color w:val="000000"/>
          <w:sz w:val="32"/>
          <w:szCs w:val="32"/>
        </w:rPr>
        <w:t>3.广泛参与原则</w:t>
      </w:r>
    </w:p>
    <w:p>
      <w:pPr>
        <w:widowControl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广泛征求行业内不同科研院(所)、设计院、生产经营单位、以及常年从事危险化学品安全生产管理工作的协会、地方监管部门及相关专家的意见,确保了本标准的实用性。</w:t>
      </w:r>
    </w:p>
    <w:p>
      <w:pPr>
        <w:widowControl w:val="0"/>
        <w:spacing w:line="560" w:lineRule="exact"/>
        <w:ind w:firstLine="642" w:firstLineChars="200"/>
        <w:rPr>
          <w:rFonts w:ascii="宋体" w:hAnsi="宋体" w:eastAsia="仿宋_GB2312"/>
          <w:b/>
          <w:bCs/>
          <w:color w:val="000000"/>
          <w:sz w:val="32"/>
          <w:szCs w:val="32"/>
        </w:rPr>
      </w:pPr>
      <w:r>
        <w:rPr>
          <w:rFonts w:hint="eastAsia" w:ascii="宋体" w:hAnsi="宋体" w:eastAsia="仿宋_GB2312"/>
          <w:b/>
          <w:bCs/>
          <w:color w:val="000000"/>
          <w:sz w:val="32"/>
          <w:szCs w:val="32"/>
        </w:rPr>
        <w:t>4.协调性原则</w:t>
      </w:r>
    </w:p>
    <w:p>
      <w:pPr>
        <w:widowControl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本标准是以原有的一项国家标准和两项安全行业标准为基础，结合危险化学品重大危险源安全监控技术新成果、新进展，对之进行的整合修订替代，与其他现行国家标准和行业标准整体协调、衔接和配套。</w:t>
      </w:r>
    </w:p>
    <w:p>
      <w:pPr>
        <w:widowControl w:val="0"/>
        <w:spacing w:line="560" w:lineRule="exact"/>
        <w:ind w:firstLine="642" w:firstLineChars="200"/>
        <w:rPr>
          <w:rFonts w:ascii="宋体" w:hAnsi="宋体" w:eastAsia="楷体_GB2312" w:cs="Times New Roman"/>
          <w:b/>
          <w:bCs/>
          <w:sz w:val="32"/>
          <w:szCs w:val="32"/>
          <w:shd w:val="clear" w:color="auto" w:fill="FFFFFF"/>
        </w:rPr>
      </w:pPr>
      <w:r>
        <w:rPr>
          <w:rFonts w:hint="eastAsia" w:ascii="宋体" w:hAnsi="宋体" w:eastAsia="楷体_GB2312" w:cs="Times New Roman"/>
          <w:b/>
          <w:bCs/>
          <w:sz w:val="32"/>
          <w:szCs w:val="32"/>
          <w:shd w:val="clear" w:color="auto" w:fill="FFFFFF"/>
        </w:rPr>
        <w:t>（二）标准主要技术内容及确定依据</w:t>
      </w:r>
    </w:p>
    <w:p>
      <w:pPr>
        <w:widowControl w:val="0"/>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主要内容包括范围、规范性引用文件、术语和定义、缩略语、基本规定、设计要求、施工安装、质量/验收与评估、运行与检维修等9个部分，系统规范了危险化学品重大危险源安全监控系统全生命周期的技术要求。</w:t>
      </w:r>
    </w:p>
    <w:p>
      <w:pPr>
        <w:pStyle w:val="2"/>
        <w:adjustRightInd w:val="0"/>
        <w:spacing w:line="560" w:lineRule="exact"/>
        <w:ind w:firstLine="662" w:firstLineChars="200"/>
        <w:rPr>
          <w:rFonts w:eastAsia="仿宋_GB2312" w:cs="Times New Roman"/>
          <w:b/>
          <w:spacing w:val="5"/>
          <w:sz w:val="32"/>
        </w:rPr>
      </w:pPr>
      <w:r>
        <w:rPr>
          <w:rFonts w:eastAsia="仿宋_GB2312" w:cs="Times New Roman"/>
          <w:b/>
          <w:spacing w:val="5"/>
          <w:sz w:val="32"/>
        </w:rPr>
        <w:t>1.适用范围</w:t>
      </w:r>
    </w:p>
    <w:p>
      <w:pPr>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lang w:val="en"/>
        </w:rPr>
        <w:t>本标准</w:t>
      </w:r>
      <w:r>
        <w:rPr>
          <w:rFonts w:hint="eastAsia" w:ascii="宋体" w:hAnsi="宋体" w:eastAsia="仿宋_GB2312"/>
          <w:color w:val="000000"/>
          <w:sz w:val="32"/>
          <w:szCs w:val="32"/>
        </w:rPr>
        <w:t>规定了危险化学品重大危险源安全监控系统的基本规定、设计要求、施工安装、质量和验收与评估、运行与检维修等方面的技术要求。</w:t>
      </w:r>
    </w:p>
    <w:p>
      <w:pPr>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lang w:val="en"/>
        </w:rPr>
        <w:t>本标准</w:t>
      </w:r>
      <w:r>
        <w:rPr>
          <w:rFonts w:hint="eastAsia" w:ascii="宋体" w:hAnsi="宋体" w:eastAsia="仿宋_GB2312"/>
          <w:color w:val="000000"/>
          <w:sz w:val="32"/>
          <w:szCs w:val="32"/>
        </w:rPr>
        <w:t>适用于新建、改建、扩建危险化学品建设项目的重大危险源安全监控系统。</w:t>
      </w:r>
    </w:p>
    <w:p>
      <w:pPr>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lang w:val="en"/>
        </w:rPr>
        <w:t>本标准</w:t>
      </w:r>
      <w:r>
        <w:rPr>
          <w:rFonts w:hint="eastAsia" w:ascii="宋体" w:hAnsi="宋体" w:eastAsia="仿宋_GB2312"/>
          <w:color w:val="000000"/>
          <w:sz w:val="32"/>
          <w:szCs w:val="32"/>
        </w:rPr>
        <w:t>不适用于地下水封洞库、地下气库。</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2.</w:t>
      </w:r>
      <w:r>
        <w:rPr>
          <w:rFonts w:hint="eastAsia" w:ascii="宋体" w:hAnsi="宋体" w:eastAsia="仿宋_GB2312" w:cs="Times New Roman"/>
          <w:b/>
          <w:spacing w:val="5"/>
          <w:sz w:val="32"/>
          <w:szCs w:val="24"/>
        </w:rPr>
        <w:t>规范性引用文件</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规范性引用文件是本标准在修订时的参考依据和支撑性文件。标准引用了该文件或文件条款后，引用部分就构成了本标准整体不可分割的组成部分，其作用不仅可以帮助理解该条文的出处及其适用范围，也能帮助理解并诠释标准条文意思。</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3</w:t>
      </w:r>
      <w:r>
        <w:rPr>
          <w:rFonts w:hint="eastAsia" w:ascii="宋体" w:hAnsi="宋体" w:eastAsia="仿宋_GB2312" w:cs="Times New Roman"/>
          <w:b/>
          <w:spacing w:val="5"/>
          <w:sz w:val="32"/>
          <w:szCs w:val="24"/>
        </w:rPr>
        <w:t>.术语和定义</w:t>
      </w:r>
    </w:p>
    <w:p>
      <w:pPr>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lang w:val="en"/>
        </w:rPr>
        <w:t>本标准</w:t>
      </w:r>
      <w:r>
        <w:rPr>
          <w:rFonts w:hint="eastAsia" w:ascii="宋体" w:hAnsi="宋体" w:eastAsia="仿宋_GB2312"/>
          <w:color w:val="000000"/>
          <w:sz w:val="32"/>
          <w:szCs w:val="32"/>
        </w:rPr>
        <w:t>界定了危险化学品重大危险源安全监控系统、雷电预警系统、基本过程控制系统、可燃和有毒气体检测报警系统、有毒气体、液化气体、剧毒液体、最终执行机构、紧急切断阀等11条术语和定义。通过明确相关名词术语减少歧义，使标准更容易理解和执行。</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4.</w:t>
      </w:r>
      <w:r>
        <w:rPr>
          <w:rFonts w:hint="eastAsia" w:ascii="宋体" w:hAnsi="宋体" w:eastAsia="仿宋_GB2312" w:cs="Times New Roman"/>
          <w:b/>
          <w:spacing w:val="5"/>
          <w:sz w:val="32"/>
          <w:szCs w:val="24"/>
        </w:rPr>
        <w:t>缩略语</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明确了基本过程控制系统、分散控制系统、安全仪表功能、安全完整性等级、安全仪表系统等5个缩略语。</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5</w:t>
      </w:r>
      <w:r>
        <w:rPr>
          <w:rFonts w:hint="eastAsia" w:ascii="宋体" w:hAnsi="宋体" w:eastAsia="仿宋_GB2312" w:cs="Times New Roman"/>
          <w:b/>
          <w:spacing w:val="5"/>
          <w:sz w:val="32"/>
          <w:szCs w:val="24"/>
        </w:rPr>
        <w:t>.基本规定</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从基本功能、信息储存时长、人员值守、数据共享、网络与信息安全、系统供电、防火防爆、防雷防静电等方面对危险化学品重大危险源安全监控提出了原则性要求。</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6.</w:t>
      </w:r>
      <w:r>
        <w:rPr>
          <w:rFonts w:hint="eastAsia" w:ascii="宋体" w:hAnsi="宋体" w:eastAsia="仿宋_GB2312" w:cs="Times New Roman"/>
          <w:b/>
          <w:spacing w:val="5"/>
          <w:sz w:val="32"/>
          <w:szCs w:val="24"/>
        </w:rPr>
        <w:t>设计要求</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明确了生产单元和储存单元工艺设计要求及基本过程控制系统、安全仪表系统、可燃和有毒气体检测报警系统、过程测量仪表、气象监测仪、最终执行机构、电视监视系统、防雷防静电等方面的设计要求。</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7</w:t>
      </w:r>
      <w:r>
        <w:rPr>
          <w:rFonts w:hint="eastAsia" w:ascii="宋体" w:hAnsi="宋体" w:eastAsia="仿宋_GB2312" w:cs="Times New Roman"/>
          <w:b/>
          <w:spacing w:val="5"/>
          <w:sz w:val="32"/>
          <w:szCs w:val="24"/>
        </w:rPr>
        <w:t>.施工安装</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提出了施工准备、施工安装、仪表单体测试、回路测试、系统测试等方面的相关要求。</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8</w:t>
      </w:r>
      <w:r>
        <w:rPr>
          <w:rFonts w:hint="eastAsia" w:ascii="宋体" w:hAnsi="宋体" w:eastAsia="仿宋_GB2312" w:cs="Times New Roman"/>
          <w:b/>
          <w:spacing w:val="5"/>
          <w:sz w:val="32"/>
          <w:szCs w:val="24"/>
        </w:rPr>
        <w:t>.质量、验收与评估</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提出了系统投用前应进行质量验收的要求，并明确了组织验收、验收资料、系统试运行、不间断电源、气体检测报警器、过程测量仪表、电视监视系统、报警试验、控制回路、联锁试验、再次进行验收评估等方面的规定。</w:t>
      </w:r>
    </w:p>
    <w:p>
      <w:pPr>
        <w:spacing w:line="560" w:lineRule="exact"/>
        <w:ind w:firstLine="662" w:firstLineChars="200"/>
        <w:rPr>
          <w:rFonts w:ascii="宋体" w:hAnsi="宋体" w:eastAsia="仿宋_GB2312" w:cs="Times New Roman"/>
          <w:b/>
          <w:spacing w:val="5"/>
          <w:sz w:val="32"/>
          <w:szCs w:val="24"/>
        </w:rPr>
      </w:pPr>
      <w:r>
        <w:rPr>
          <w:rFonts w:ascii="宋体" w:hAnsi="宋体" w:eastAsia="仿宋_GB2312" w:cs="Times New Roman"/>
          <w:b/>
          <w:spacing w:val="5"/>
          <w:sz w:val="32"/>
          <w:szCs w:val="24"/>
        </w:rPr>
        <w:t>9</w:t>
      </w:r>
      <w:r>
        <w:rPr>
          <w:rFonts w:hint="eastAsia" w:ascii="宋体" w:hAnsi="宋体" w:eastAsia="仿宋_GB2312" w:cs="Times New Roman"/>
          <w:b/>
          <w:spacing w:val="5"/>
          <w:sz w:val="32"/>
          <w:szCs w:val="24"/>
        </w:rPr>
        <w:t>.运行与检维修</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提出了系统日常管理制度、档案管理、操作规程、人员培训、报警管理、联锁管理、变更管理等方面要求。</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三、与有关法律、行政法规和其他强制性标准的关系，配套推荐性标准的制定情况 </w:t>
      </w:r>
    </w:p>
    <w:p>
      <w:pPr>
        <w:widowControl w:val="0"/>
        <w:spacing w:line="560" w:lineRule="exact"/>
        <w:ind w:firstLine="642" w:firstLineChars="200"/>
        <w:rPr>
          <w:rFonts w:ascii="宋体" w:hAnsi="宋体" w:eastAsia="楷体_GB2312" w:cs="Times New Roman"/>
          <w:b/>
          <w:bCs/>
          <w:sz w:val="32"/>
          <w:szCs w:val="32"/>
          <w:shd w:val="clear" w:color="auto" w:fill="FFFFFF"/>
        </w:rPr>
      </w:pPr>
      <w:r>
        <w:rPr>
          <w:rFonts w:hint="eastAsia" w:ascii="宋体" w:hAnsi="宋体" w:eastAsia="楷体_GB2312" w:cs="Times New Roman"/>
          <w:b/>
          <w:bCs/>
          <w:sz w:val="32"/>
          <w:szCs w:val="32"/>
          <w:shd w:val="clear" w:color="auto" w:fill="FFFFFF"/>
        </w:rPr>
        <w:t>（一）与有关法律、行政法规、标准关系</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本标准与《中华人民共和国标准化法》、《中华人民共和国安全生产法》、《危险化学品安全管理条例》、《危险化学品重大危险源监督管理暂行规定》、《安全防范系统供电技术要求》（GB/T 15408）、《可燃气体报警控制器》（GB 16808）、《过程工业领域安全仪表系统的功能安全 第1部分～第3部分》（GB/T 21109系列）、《过程工业报警系统管理》（GB/T 41261）、《自动化仪表工程施工及质量验收规范》（GB 50093）、《石油化工企业设计防火标准（2018年版）》（GB 50160）、《石油天然气工程设计防火规范》（GB 50183）、《视频安防监控系统工程设计规范》（GB 50395）、《石油化工可燃气体和有毒气体检测报警设计标准》（GB/T 50493）、《石油化工安全仪表系统设计规范》（GB/T 50770）、《固定式压力容器安全技术监察规程》（TSG 21）、《安全防范视频监控摄像机通用技术要求》（GA/T 1127）、《化工企业液化烃储罐区安全管理规范》（AQ 3059）、《石油化工自动化仪表选型设计规范》（SH/T 3005）、《自动化仪表选型设计规范》（HG/T 20507）等现行有关国家法律、法规和标准不冲突。</w:t>
      </w:r>
    </w:p>
    <w:p>
      <w:pPr>
        <w:spacing w:line="360" w:lineRule="auto"/>
        <w:ind w:firstLine="642" w:firstLineChars="200"/>
        <w:jc w:val="left"/>
        <w:rPr>
          <w:rFonts w:ascii="宋体" w:hAnsi="宋体" w:eastAsia="楷体_GB2312"/>
          <w:b/>
          <w:bCs/>
          <w:color w:val="000000"/>
          <w:sz w:val="32"/>
          <w:szCs w:val="32"/>
        </w:rPr>
      </w:pPr>
      <w:r>
        <w:rPr>
          <w:rFonts w:hint="eastAsia" w:ascii="宋体" w:hAnsi="宋体" w:eastAsia="楷体_GB2312"/>
          <w:b/>
          <w:bCs/>
          <w:color w:val="000000"/>
          <w:sz w:val="32"/>
          <w:szCs w:val="32"/>
        </w:rPr>
        <w:t>（二）配套推荐性标准的制定情况</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无。</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四、与国际标准化组织、其他国家或者地区有关法律法规和标准的比对分析 </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国际上涉及到危险化学品安全监控的相关标准规范主要包括：IEC 61511-2016、IEC 61508-2010和BS EN 60079-29-</w:t>
      </w:r>
    </w:p>
    <w:p>
      <w:pPr>
        <w:spacing w:line="560" w:lineRule="exact"/>
        <w:rPr>
          <w:rFonts w:ascii="宋体" w:hAnsi="宋体" w:eastAsia="仿宋_GB2312"/>
          <w:color w:val="000000"/>
          <w:sz w:val="32"/>
          <w:szCs w:val="32"/>
        </w:rPr>
      </w:pPr>
      <w:r>
        <w:rPr>
          <w:rFonts w:hint="eastAsia" w:ascii="宋体" w:hAnsi="宋体" w:eastAsia="仿宋_GB2312"/>
          <w:color w:val="000000"/>
          <w:sz w:val="32"/>
          <w:szCs w:val="32"/>
        </w:rPr>
        <w:t>2-2015等；其中IEC 61511-2016明确了安全仪表系统设计、安装、试运行、安全确认、维护、改造、停用的技术要求以及应用指南和确定SIL等级的指南；IEC61508-2010明确了电气</w:t>
      </w:r>
      <w:r>
        <w:rPr>
          <w:rFonts w:hint="eastAsia" w:ascii="宋体" w:hAnsi="宋体" w:eastAsia="仿宋_GB2312" w:cs="微软雅黑"/>
          <w:color w:val="000000"/>
          <w:sz w:val="32"/>
          <w:szCs w:val="32"/>
        </w:rPr>
        <w:t>/</w:t>
      </w:r>
      <w:r>
        <w:rPr>
          <w:rFonts w:hint="eastAsia" w:ascii="宋体" w:hAnsi="宋体" w:eastAsia="仿宋_GB2312"/>
          <w:color w:val="000000"/>
          <w:sz w:val="32"/>
          <w:szCs w:val="32"/>
        </w:rPr>
        <w:t>电子</w:t>
      </w:r>
      <w:r>
        <w:rPr>
          <w:rFonts w:hint="eastAsia" w:ascii="宋体" w:hAnsi="宋体" w:eastAsia="仿宋_GB2312" w:cs="微软雅黑"/>
          <w:color w:val="000000"/>
          <w:sz w:val="32"/>
          <w:szCs w:val="32"/>
        </w:rPr>
        <w:t>/</w:t>
      </w:r>
      <w:r>
        <w:rPr>
          <w:rFonts w:hint="eastAsia" w:ascii="宋体" w:hAnsi="宋体" w:eastAsia="仿宋_GB2312"/>
          <w:color w:val="000000"/>
          <w:sz w:val="32"/>
          <w:szCs w:val="32"/>
        </w:rPr>
        <w:t>可编程电子安全相关系统的功能安全的一般要求、相关系统要求和软件要求；BS EN 60079-29-2-2015明确了可燃气体或氧气检测与测量仪器的选用、安装、使用及维护相关的要求。美国职业安全与健康管理局（OSHA）颁布的强制性联邦法规29 CFR 1910.119《高度危险化学品过程安全管理》14个基本要素之一的1910.119(d)“过程安全信息”要素中1910.119(d)(3)“工艺设备信息”要求包含1910.119(d)(3)</w:t>
      </w:r>
      <w:r>
        <w:rPr>
          <w:rFonts w:ascii="宋体" w:hAnsi="宋体" w:eastAsia="仿宋_GB2312"/>
          <w:color w:val="000000"/>
          <w:sz w:val="32"/>
          <w:szCs w:val="32"/>
        </w:rPr>
        <w:t>-</w:t>
      </w:r>
      <w:r>
        <w:rPr>
          <w:rFonts w:hint="eastAsia" w:ascii="宋体" w:hAnsi="宋体" w:eastAsia="仿宋_GB2312"/>
          <w:color w:val="000000"/>
          <w:sz w:val="32"/>
          <w:szCs w:val="32"/>
        </w:rPr>
        <w:t>(i)(H)安全系统（如联锁、监测或抑制系统）。2012年欧盟委员会 《危险物质重大事故危害控制指令》，即塞维索指令Ⅲ，明确要求通过各种控制措施（包括应急状态下的操控）来做好重大事故防控工作，该法令于2015年6月1日正式实施。</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本标准吸收了以上国际标准和技术法规的先进思想和做法，与以上标准和技术法规不冲突、不矛盾。</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五、重大分歧意见的处理过程、处理意见及其依据 </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无。</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六、对强制性国家标准自发布日期至实施日期之间的过渡期的建议及理由</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建议本标准在发布6个月过渡期后实施，原因在于：标准颁布后需要对相关危险化学品重大危险源企业、设计单位、施工单位、安全评价单位、地方各级应急管理部门等进行标准宣贯和培训，保证相关机构和单位了解标准要求，并贯彻执行。</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七、与实施强制性国家标准有关的政策措施</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本标准的实施监督部门为各级应急管理部门。</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对违反强制性国家标准的行为，相关实施监督部门可依据</w:t>
      </w:r>
      <w:r>
        <w:rPr>
          <w:rFonts w:ascii="宋体" w:hAnsi="宋体" w:eastAsia="仿宋_GB2312"/>
          <w:color w:val="000000"/>
          <w:sz w:val="32"/>
          <w:szCs w:val="32"/>
        </w:rPr>
        <w:t>《中</w:t>
      </w:r>
      <w:r>
        <w:rPr>
          <w:rFonts w:hint="eastAsia" w:ascii="宋体" w:hAnsi="宋体" w:eastAsia="仿宋_GB2312"/>
          <w:color w:val="000000"/>
          <w:sz w:val="32"/>
          <w:szCs w:val="32"/>
        </w:rPr>
        <w:t>华人民共和国安全生产法》《危险化学品安全管理条例》《危险化学品重大危险源监督管理暂行规定》等作为违反标准行为进行处理的法律法规规章依据。具体条款如下：</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1.《中华人民共和国安全生产法》</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第四十条 生产经营单位对重大危险源应当登记建档，进行定期检测、评估、监控，并制定应急预案，告知从业人员和相关人员在紧急情况下应当采取的应急措施。</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第九十九条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（二）安全设备的安装、使用、检测、改造和报废不符合国家标准或者行业标准的；</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（三）未对安全设备进行经常性维护、保养和定期检测的；</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（四）关闭、破坏直接关系生产安全的监控、报警、防护、救生设备、设施，或者篡改、隐瞒、销毁其相关数据、信息的；</w:t>
      </w:r>
    </w:p>
    <w:p>
      <w:pPr>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rPr>
        <w:t>2</w:t>
      </w:r>
      <w:r>
        <w:rPr>
          <w:rFonts w:hint="eastAsia" w:ascii="宋体" w:hAnsi="宋体" w:eastAsia="仿宋_GB2312"/>
          <w:color w:val="000000"/>
          <w:sz w:val="32"/>
          <w:szCs w:val="32"/>
        </w:rPr>
        <w:t>.《危险化学品安全管理条例》</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第七十八条 有下列情形之一的，由安全生产监督管理部门责令改正，可以处5万元以下的罚款；拒不改正的，处5万元以上10万元以下的罚款；情节严重的，责令停产停业整顿：</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（八）生产、储存危险化学品的单位未在作业场所和安全设施、设备上设置明显的安全警示标志，或者未在作业场所设置通信、报警装置的；</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第八十条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（二）未根据其生产、储存的危险化学品的种类和危险特性，在作业场所设置相关安全设施、设备，或者未按照国家标准、行业标准或者国家有关规定对安全设施、设备进行经常性维护、保养的；</w:t>
      </w:r>
    </w:p>
    <w:p>
      <w:pPr>
        <w:spacing w:line="560" w:lineRule="exact"/>
        <w:ind w:firstLine="640" w:firstLineChars="200"/>
        <w:rPr>
          <w:rFonts w:ascii="宋体" w:hAnsi="宋体" w:eastAsia="仿宋_GB2312"/>
          <w:color w:val="000000"/>
          <w:sz w:val="32"/>
          <w:szCs w:val="32"/>
        </w:rPr>
      </w:pPr>
      <w:r>
        <w:rPr>
          <w:rFonts w:ascii="宋体" w:hAnsi="宋体" w:eastAsia="仿宋_GB2312"/>
          <w:color w:val="000000"/>
          <w:sz w:val="32"/>
          <w:szCs w:val="32"/>
        </w:rPr>
        <w:t>3.</w:t>
      </w:r>
      <w:r>
        <w:rPr>
          <w:rFonts w:hint="eastAsia" w:ascii="宋体" w:hAnsi="宋体" w:eastAsia="仿宋_GB2312"/>
          <w:color w:val="000000"/>
          <w:sz w:val="32"/>
          <w:szCs w:val="32"/>
        </w:rPr>
        <w:t>《危险化学品重大危险源监督管理暂行规定》</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第三十二条 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（三）未按照本规定及相关标准要求对重大危险源进行安全监测监控的；</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第三十三条 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（二）未对重大危险源中的设备、设施等进行定期检测、检验的。</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八、是否需要对外通报的建议及理由 </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本标准不涉及对外贸易，不需要对外通报。</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九、废止现行有关标准的建议 </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本标准正式实施后，建议《易燃易爆罐区安全监控预警系统验收技术要求》（GB 17681-1999）、《危险化学品重大危险源安全监控通用技术规范》（AQ 3035-2010）和《危险化学品重大危险源  罐区现场安全监控装备设置规范》（AQ 3036-2010）同时废止。</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十、涉及专利的有关说明 </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本标准不涉及专利。</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十一、强制性国家标准所涉及的产品、过程或者服务目录 </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本标准涉及物位计、温度计、流量计、压力变送器、气体泄漏检测报警器、气象仪、雷电预警系统、静电报警器、接地电阻在线监测系统、摄像机、硬盘录像机、气动阀、电动阀、电液阀等各类危险化学品重大危险源安全监控装备的选型、安装、使用等方面的通用要求，但不涉及具体产品。</w:t>
      </w:r>
    </w:p>
    <w:p>
      <w:pPr>
        <w:spacing w:line="560" w:lineRule="exact"/>
        <w:ind w:firstLine="640" w:firstLineChars="200"/>
        <w:rPr>
          <w:rFonts w:ascii="宋体" w:hAnsi="宋体" w:eastAsia="黑体"/>
          <w:color w:val="000000"/>
          <w:sz w:val="32"/>
          <w:szCs w:val="32"/>
        </w:rPr>
      </w:pPr>
      <w:r>
        <w:rPr>
          <w:rFonts w:hint="eastAsia" w:ascii="宋体" w:hAnsi="宋体" w:eastAsia="黑体"/>
          <w:color w:val="000000"/>
          <w:sz w:val="32"/>
          <w:szCs w:val="32"/>
        </w:rPr>
        <w:t xml:space="preserve">十二、其他应当予以说明的事项 </w:t>
      </w:r>
    </w:p>
    <w:p>
      <w:pPr>
        <w:spacing w:line="56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无。</w:t>
      </w:r>
    </w:p>
    <w:sectPr>
      <w:footerReference r:id="rId3" w:type="default"/>
      <w:pgSz w:w="11906" w:h="17338"/>
      <w:pgMar w:top="1701" w:right="1588" w:bottom="1474" w:left="158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Batang">
    <w:panose1 w:val="02030600000101010101"/>
    <w:charset w:val="81"/>
    <w:family w:val="auto"/>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519677"/>
    </w:sdtPr>
    <w:sdtEndPr>
      <w:rPr>
        <w:rFonts w:ascii="宋体" w:hAnsi="宋体"/>
        <w:sz w:val="24"/>
        <w:szCs w:val="24"/>
      </w:rPr>
    </w:sdtEndPr>
    <w:sdtContent>
      <w:p>
        <w:pPr>
          <w:pStyle w:val="8"/>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10</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lM2M1YTgwOWRlN2E0YTYyZGVlYjUyNGIzYWJjNDgifQ=="/>
  </w:docVars>
  <w:rsids>
    <w:rsidRoot w:val="00172A27"/>
    <w:rsid w:val="00010C77"/>
    <w:rsid w:val="00017DC5"/>
    <w:rsid w:val="00025789"/>
    <w:rsid w:val="00030527"/>
    <w:rsid w:val="00032C49"/>
    <w:rsid w:val="00033E6F"/>
    <w:rsid w:val="00055F93"/>
    <w:rsid w:val="00077CCE"/>
    <w:rsid w:val="00092B15"/>
    <w:rsid w:val="00095575"/>
    <w:rsid w:val="000A6F85"/>
    <w:rsid w:val="000B5761"/>
    <w:rsid w:val="000C05F6"/>
    <w:rsid w:val="000D1C70"/>
    <w:rsid w:val="000D52D9"/>
    <w:rsid w:val="000F5607"/>
    <w:rsid w:val="00107CF6"/>
    <w:rsid w:val="00114F09"/>
    <w:rsid w:val="00135F28"/>
    <w:rsid w:val="0014061F"/>
    <w:rsid w:val="00140FD9"/>
    <w:rsid w:val="001461AB"/>
    <w:rsid w:val="00162BC0"/>
    <w:rsid w:val="00164079"/>
    <w:rsid w:val="00167851"/>
    <w:rsid w:val="00172A27"/>
    <w:rsid w:val="001A2C50"/>
    <w:rsid w:val="001B0FA5"/>
    <w:rsid w:val="001B4AF0"/>
    <w:rsid w:val="001B5CBE"/>
    <w:rsid w:val="001C5ED8"/>
    <w:rsid w:val="001C7224"/>
    <w:rsid w:val="001D10A8"/>
    <w:rsid w:val="001E6402"/>
    <w:rsid w:val="00213E82"/>
    <w:rsid w:val="00225871"/>
    <w:rsid w:val="002260C0"/>
    <w:rsid w:val="00232198"/>
    <w:rsid w:val="002374BE"/>
    <w:rsid w:val="00245942"/>
    <w:rsid w:val="00257CC1"/>
    <w:rsid w:val="002632CC"/>
    <w:rsid w:val="002755F1"/>
    <w:rsid w:val="002770E0"/>
    <w:rsid w:val="00283B18"/>
    <w:rsid w:val="00292437"/>
    <w:rsid w:val="002A67B6"/>
    <w:rsid w:val="002A7DD9"/>
    <w:rsid w:val="002A7E78"/>
    <w:rsid w:val="002B0E7A"/>
    <w:rsid w:val="002B25CE"/>
    <w:rsid w:val="002D0818"/>
    <w:rsid w:val="002D194F"/>
    <w:rsid w:val="002D1F3A"/>
    <w:rsid w:val="002D1FE5"/>
    <w:rsid w:val="002D2679"/>
    <w:rsid w:val="002D3290"/>
    <w:rsid w:val="002D5605"/>
    <w:rsid w:val="002E4763"/>
    <w:rsid w:val="002F49E8"/>
    <w:rsid w:val="00311E87"/>
    <w:rsid w:val="003402A9"/>
    <w:rsid w:val="00351C72"/>
    <w:rsid w:val="0035400C"/>
    <w:rsid w:val="003601F2"/>
    <w:rsid w:val="00375BC1"/>
    <w:rsid w:val="003975F7"/>
    <w:rsid w:val="003B55B1"/>
    <w:rsid w:val="003B692E"/>
    <w:rsid w:val="003C4871"/>
    <w:rsid w:val="003C5CA4"/>
    <w:rsid w:val="00403F52"/>
    <w:rsid w:val="00412FF2"/>
    <w:rsid w:val="00413DD6"/>
    <w:rsid w:val="004164DB"/>
    <w:rsid w:val="0042551F"/>
    <w:rsid w:val="00430689"/>
    <w:rsid w:val="00431E07"/>
    <w:rsid w:val="004365A2"/>
    <w:rsid w:val="00452454"/>
    <w:rsid w:val="0045562D"/>
    <w:rsid w:val="00465042"/>
    <w:rsid w:val="00475A66"/>
    <w:rsid w:val="004771F8"/>
    <w:rsid w:val="00483C1E"/>
    <w:rsid w:val="004848A3"/>
    <w:rsid w:val="004A3E3A"/>
    <w:rsid w:val="004A4F94"/>
    <w:rsid w:val="004B4FD0"/>
    <w:rsid w:val="004D1DD0"/>
    <w:rsid w:val="004D2603"/>
    <w:rsid w:val="004D3523"/>
    <w:rsid w:val="004D7258"/>
    <w:rsid w:val="004D7336"/>
    <w:rsid w:val="004F190A"/>
    <w:rsid w:val="004F1B7F"/>
    <w:rsid w:val="00510151"/>
    <w:rsid w:val="00527132"/>
    <w:rsid w:val="0053076D"/>
    <w:rsid w:val="005449A5"/>
    <w:rsid w:val="005522EE"/>
    <w:rsid w:val="00554692"/>
    <w:rsid w:val="00564F95"/>
    <w:rsid w:val="0056627B"/>
    <w:rsid w:val="00571C38"/>
    <w:rsid w:val="00572472"/>
    <w:rsid w:val="00586679"/>
    <w:rsid w:val="005B25AA"/>
    <w:rsid w:val="005C40E0"/>
    <w:rsid w:val="005C7F7A"/>
    <w:rsid w:val="005E7AAB"/>
    <w:rsid w:val="005F1461"/>
    <w:rsid w:val="005F6DE7"/>
    <w:rsid w:val="00600CF5"/>
    <w:rsid w:val="006033C3"/>
    <w:rsid w:val="006051FF"/>
    <w:rsid w:val="006069B1"/>
    <w:rsid w:val="00621443"/>
    <w:rsid w:val="006240A1"/>
    <w:rsid w:val="00642FAF"/>
    <w:rsid w:val="006535F8"/>
    <w:rsid w:val="0065744F"/>
    <w:rsid w:val="006736A7"/>
    <w:rsid w:val="006A7B27"/>
    <w:rsid w:val="006B132D"/>
    <w:rsid w:val="006D5920"/>
    <w:rsid w:val="006F5778"/>
    <w:rsid w:val="00726E39"/>
    <w:rsid w:val="00745DE8"/>
    <w:rsid w:val="007472F2"/>
    <w:rsid w:val="0077675E"/>
    <w:rsid w:val="00776F9E"/>
    <w:rsid w:val="007B044A"/>
    <w:rsid w:val="007B61AC"/>
    <w:rsid w:val="007B63AF"/>
    <w:rsid w:val="007C1586"/>
    <w:rsid w:val="007C337B"/>
    <w:rsid w:val="007D55B6"/>
    <w:rsid w:val="007E2E29"/>
    <w:rsid w:val="007E4D84"/>
    <w:rsid w:val="007F2AF1"/>
    <w:rsid w:val="00811ACB"/>
    <w:rsid w:val="008279BF"/>
    <w:rsid w:val="0085755B"/>
    <w:rsid w:val="008710D3"/>
    <w:rsid w:val="008742FF"/>
    <w:rsid w:val="00885650"/>
    <w:rsid w:val="008B1BF8"/>
    <w:rsid w:val="008C307F"/>
    <w:rsid w:val="008D17A4"/>
    <w:rsid w:val="008D2CA8"/>
    <w:rsid w:val="008D54F3"/>
    <w:rsid w:val="008E4C73"/>
    <w:rsid w:val="008E5B2E"/>
    <w:rsid w:val="008F21CD"/>
    <w:rsid w:val="00915525"/>
    <w:rsid w:val="00925584"/>
    <w:rsid w:val="00934D79"/>
    <w:rsid w:val="009450F2"/>
    <w:rsid w:val="00947A30"/>
    <w:rsid w:val="00950816"/>
    <w:rsid w:val="00953F27"/>
    <w:rsid w:val="00956A94"/>
    <w:rsid w:val="00961528"/>
    <w:rsid w:val="009764C7"/>
    <w:rsid w:val="00987D2E"/>
    <w:rsid w:val="00997C44"/>
    <w:rsid w:val="009A2CB3"/>
    <w:rsid w:val="009A5748"/>
    <w:rsid w:val="009B747E"/>
    <w:rsid w:val="009C5C35"/>
    <w:rsid w:val="009D43F1"/>
    <w:rsid w:val="009F0884"/>
    <w:rsid w:val="009F2F59"/>
    <w:rsid w:val="00A126F3"/>
    <w:rsid w:val="00A235AD"/>
    <w:rsid w:val="00A34FA3"/>
    <w:rsid w:val="00A56587"/>
    <w:rsid w:val="00A5745D"/>
    <w:rsid w:val="00A57DF5"/>
    <w:rsid w:val="00A769AD"/>
    <w:rsid w:val="00A77847"/>
    <w:rsid w:val="00A97B29"/>
    <w:rsid w:val="00AA581D"/>
    <w:rsid w:val="00AB6C14"/>
    <w:rsid w:val="00AD612F"/>
    <w:rsid w:val="00AF2643"/>
    <w:rsid w:val="00B00757"/>
    <w:rsid w:val="00B03EE2"/>
    <w:rsid w:val="00B12F68"/>
    <w:rsid w:val="00B325E2"/>
    <w:rsid w:val="00B34804"/>
    <w:rsid w:val="00B36CF3"/>
    <w:rsid w:val="00B41840"/>
    <w:rsid w:val="00B51111"/>
    <w:rsid w:val="00B60D0C"/>
    <w:rsid w:val="00B74804"/>
    <w:rsid w:val="00B7609C"/>
    <w:rsid w:val="00B863FD"/>
    <w:rsid w:val="00B91AE7"/>
    <w:rsid w:val="00B91C6A"/>
    <w:rsid w:val="00BA6596"/>
    <w:rsid w:val="00BB397D"/>
    <w:rsid w:val="00BB69F6"/>
    <w:rsid w:val="00BB72B0"/>
    <w:rsid w:val="00BC15E1"/>
    <w:rsid w:val="00BC6E21"/>
    <w:rsid w:val="00BD21D7"/>
    <w:rsid w:val="00C10E0A"/>
    <w:rsid w:val="00C116D1"/>
    <w:rsid w:val="00C144D9"/>
    <w:rsid w:val="00C21F2F"/>
    <w:rsid w:val="00C30E1B"/>
    <w:rsid w:val="00C32D49"/>
    <w:rsid w:val="00C63E9A"/>
    <w:rsid w:val="00C64043"/>
    <w:rsid w:val="00C77053"/>
    <w:rsid w:val="00C816EC"/>
    <w:rsid w:val="00C83F57"/>
    <w:rsid w:val="00C87C89"/>
    <w:rsid w:val="00CA238F"/>
    <w:rsid w:val="00CA2F76"/>
    <w:rsid w:val="00CB1029"/>
    <w:rsid w:val="00CC3002"/>
    <w:rsid w:val="00CC78B3"/>
    <w:rsid w:val="00CD7055"/>
    <w:rsid w:val="00CE04B7"/>
    <w:rsid w:val="00CF220A"/>
    <w:rsid w:val="00CF2A1E"/>
    <w:rsid w:val="00D05690"/>
    <w:rsid w:val="00D22A55"/>
    <w:rsid w:val="00D26739"/>
    <w:rsid w:val="00D355DD"/>
    <w:rsid w:val="00D411EF"/>
    <w:rsid w:val="00D4457C"/>
    <w:rsid w:val="00D5429E"/>
    <w:rsid w:val="00D61AFE"/>
    <w:rsid w:val="00D64FCC"/>
    <w:rsid w:val="00D662A6"/>
    <w:rsid w:val="00D73F38"/>
    <w:rsid w:val="00D865E7"/>
    <w:rsid w:val="00DA66C6"/>
    <w:rsid w:val="00DB2FD7"/>
    <w:rsid w:val="00DD1B84"/>
    <w:rsid w:val="00DD1D78"/>
    <w:rsid w:val="00DD3253"/>
    <w:rsid w:val="00DE4754"/>
    <w:rsid w:val="00DE7465"/>
    <w:rsid w:val="00DF558E"/>
    <w:rsid w:val="00E001A3"/>
    <w:rsid w:val="00E0141C"/>
    <w:rsid w:val="00E2059F"/>
    <w:rsid w:val="00E23404"/>
    <w:rsid w:val="00E25C30"/>
    <w:rsid w:val="00E2769F"/>
    <w:rsid w:val="00E326EA"/>
    <w:rsid w:val="00E33B13"/>
    <w:rsid w:val="00E42774"/>
    <w:rsid w:val="00E42C05"/>
    <w:rsid w:val="00E430C4"/>
    <w:rsid w:val="00E46873"/>
    <w:rsid w:val="00E644E2"/>
    <w:rsid w:val="00E65736"/>
    <w:rsid w:val="00E6725A"/>
    <w:rsid w:val="00E720F4"/>
    <w:rsid w:val="00E847EA"/>
    <w:rsid w:val="00E942E6"/>
    <w:rsid w:val="00ED0ABD"/>
    <w:rsid w:val="00ED6CC5"/>
    <w:rsid w:val="00F024F6"/>
    <w:rsid w:val="00F04171"/>
    <w:rsid w:val="00F11C55"/>
    <w:rsid w:val="00F12B16"/>
    <w:rsid w:val="00F34A82"/>
    <w:rsid w:val="00F3662F"/>
    <w:rsid w:val="00F44947"/>
    <w:rsid w:val="00F51EE3"/>
    <w:rsid w:val="00F75097"/>
    <w:rsid w:val="00F93B48"/>
    <w:rsid w:val="00FB35DA"/>
    <w:rsid w:val="00FE2F6B"/>
    <w:rsid w:val="1A8EA2CA"/>
    <w:rsid w:val="25CF7DBD"/>
    <w:rsid w:val="2EC63971"/>
    <w:rsid w:val="32DCD7D6"/>
    <w:rsid w:val="33AA6370"/>
    <w:rsid w:val="3675765C"/>
    <w:rsid w:val="369ED455"/>
    <w:rsid w:val="3A3F286B"/>
    <w:rsid w:val="3A662837"/>
    <w:rsid w:val="3AEFB301"/>
    <w:rsid w:val="3BC70504"/>
    <w:rsid w:val="3BFB64FE"/>
    <w:rsid w:val="3BFEB6D2"/>
    <w:rsid w:val="3C327613"/>
    <w:rsid w:val="3D7CF544"/>
    <w:rsid w:val="3F7EE0D9"/>
    <w:rsid w:val="3FFD5778"/>
    <w:rsid w:val="3FFE4D60"/>
    <w:rsid w:val="4497B214"/>
    <w:rsid w:val="45960555"/>
    <w:rsid w:val="4D0B8B91"/>
    <w:rsid w:val="52456CAD"/>
    <w:rsid w:val="56DB5F1A"/>
    <w:rsid w:val="5BF715AA"/>
    <w:rsid w:val="5DEF105B"/>
    <w:rsid w:val="5FFF88B7"/>
    <w:rsid w:val="6AF5A23C"/>
    <w:rsid w:val="6BFF61A0"/>
    <w:rsid w:val="6FD5E40C"/>
    <w:rsid w:val="727B4C03"/>
    <w:rsid w:val="73F797EE"/>
    <w:rsid w:val="73FC69FC"/>
    <w:rsid w:val="756B7E1E"/>
    <w:rsid w:val="787C0116"/>
    <w:rsid w:val="7AF35487"/>
    <w:rsid w:val="7B9FF4E9"/>
    <w:rsid w:val="7EB456B3"/>
    <w:rsid w:val="7EF5BBE7"/>
    <w:rsid w:val="7F7BC8D4"/>
    <w:rsid w:val="9FF6B3EB"/>
    <w:rsid w:val="BCBB4622"/>
    <w:rsid w:val="BD0681A7"/>
    <w:rsid w:val="BEB732EB"/>
    <w:rsid w:val="BFFEB009"/>
    <w:rsid w:val="D5F43AA9"/>
    <w:rsid w:val="D7F395D6"/>
    <w:rsid w:val="E4B40E30"/>
    <w:rsid w:val="E617F061"/>
    <w:rsid w:val="E7FFF7FC"/>
    <w:rsid w:val="EBCFA8AC"/>
    <w:rsid w:val="EF3E300E"/>
    <w:rsid w:val="EFD00A80"/>
    <w:rsid w:val="F37FC6F7"/>
    <w:rsid w:val="F3BF5871"/>
    <w:rsid w:val="F3F47557"/>
    <w:rsid w:val="F9ED02EE"/>
    <w:rsid w:val="FB7DAC19"/>
    <w:rsid w:val="FDBC3EBD"/>
    <w:rsid w:val="FE764022"/>
    <w:rsid w:val="FF3A36BD"/>
    <w:rsid w:val="FFA3A404"/>
    <w:rsid w:val="FFFF9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rFonts w:ascii="宋体" w:hAnsi="宋体" w:cs="宋体"/>
      <w:sz w:val="24"/>
      <w:szCs w:val="24"/>
      <w:lang w:val="zh-CN" w:bidi="zh-CN"/>
    </w:rPr>
  </w:style>
  <w:style w:type="paragraph" w:styleId="4">
    <w:name w:val="caption"/>
    <w:basedOn w:val="1"/>
    <w:next w:val="1"/>
    <w:semiHidden/>
    <w:unhideWhenUsed/>
    <w:qFormat/>
    <w:uiPriority w:val="0"/>
    <w:rPr>
      <w:rFonts w:eastAsia="黑体" w:asciiTheme="majorHAnsi" w:hAnsiTheme="majorHAnsi" w:cstheme="majorBidi"/>
      <w:sz w:val="20"/>
    </w:rPr>
  </w:style>
  <w:style w:type="paragraph" w:styleId="5">
    <w:name w:val="annotation text"/>
    <w:basedOn w:val="1"/>
    <w:link w:val="18"/>
    <w:qFormat/>
    <w:uiPriority w:val="0"/>
    <w:pPr>
      <w:jc w:val="left"/>
    </w:pPr>
  </w:style>
  <w:style w:type="paragraph" w:styleId="6">
    <w:name w:val="Date"/>
    <w:basedOn w:val="1"/>
    <w:next w:val="1"/>
    <w:link w:val="15"/>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annotation subject"/>
    <w:basedOn w:val="5"/>
    <w:next w:val="5"/>
    <w:link w:val="19"/>
    <w:qFormat/>
    <w:uiPriority w:val="0"/>
    <w:rPr>
      <w:b/>
      <w:bCs/>
    </w:rPr>
  </w:style>
  <w:style w:type="character" w:styleId="13">
    <w:name w:val="annotation reference"/>
    <w:basedOn w:val="12"/>
    <w:qFormat/>
    <w:uiPriority w:val="0"/>
    <w:rPr>
      <w:sz w:val="21"/>
      <w:szCs w:val="21"/>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heme="minorBidi"/>
      <w:color w:val="000000"/>
      <w:sz w:val="24"/>
      <w:lang w:val="en-US" w:eastAsia="zh-CN" w:bidi="ar-SA"/>
    </w:rPr>
  </w:style>
  <w:style w:type="character" w:customStyle="1" w:styleId="15">
    <w:name w:val="日期 字符"/>
    <w:basedOn w:val="12"/>
    <w:link w:val="6"/>
    <w:qFormat/>
    <w:uiPriority w:val="0"/>
    <w:rPr>
      <w:rFonts w:eastAsia="宋体"/>
      <w:kern w:val="2"/>
      <w:sz w:val="21"/>
    </w:rPr>
  </w:style>
  <w:style w:type="character" w:customStyle="1" w:styleId="16">
    <w:name w:val="页眉 字符"/>
    <w:basedOn w:val="12"/>
    <w:link w:val="9"/>
    <w:qFormat/>
    <w:uiPriority w:val="0"/>
    <w:rPr>
      <w:rFonts w:eastAsia="宋体"/>
      <w:kern w:val="2"/>
      <w:sz w:val="18"/>
      <w:szCs w:val="18"/>
    </w:rPr>
  </w:style>
  <w:style w:type="character" w:customStyle="1" w:styleId="17">
    <w:name w:val="页脚 字符"/>
    <w:basedOn w:val="12"/>
    <w:link w:val="8"/>
    <w:qFormat/>
    <w:uiPriority w:val="99"/>
    <w:rPr>
      <w:rFonts w:eastAsia="宋体"/>
      <w:kern w:val="2"/>
      <w:sz w:val="18"/>
      <w:szCs w:val="18"/>
    </w:rPr>
  </w:style>
  <w:style w:type="character" w:customStyle="1" w:styleId="18">
    <w:name w:val="批注文字 字符"/>
    <w:basedOn w:val="12"/>
    <w:link w:val="5"/>
    <w:qFormat/>
    <w:uiPriority w:val="0"/>
    <w:rPr>
      <w:rFonts w:eastAsia="宋体"/>
      <w:kern w:val="2"/>
      <w:sz w:val="21"/>
    </w:rPr>
  </w:style>
  <w:style w:type="character" w:customStyle="1" w:styleId="19">
    <w:name w:val="批注主题 字符"/>
    <w:basedOn w:val="18"/>
    <w:link w:val="10"/>
    <w:qFormat/>
    <w:uiPriority w:val="0"/>
    <w:rPr>
      <w:rFonts w:eastAsia="宋体"/>
      <w:b/>
      <w:bCs/>
      <w:kern w:val="2"/>
      <w:sz w:val="21"/>
    </w:rPr>
  </w:style>
  <w:style w:type="character" w:customStyle="1" w:styleId="20">
    <w:name w:val="批注框文本 字符"/>
    <w:basedOn w:val="12"/>
    <w:link w:val="7"/>
    <w:qFormat/>
    <w:uiPriority w:val="0"/>
    <w:rPr>
      <w:rFonts w:eastAsia="宋体"/>
      <w:kern w:val="2"/>
      <w:sz w:val="18"/>
      <w:szCs w:val="18"/>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834</Words>
  <Characters>4757</Characters>
  <Lines>39</Lines>
  <Paragraphs>11</Paragraphs>
  <TotalTime>61</TotalTime>
  <ScaleCrop>false</ScaleCrop>
  <LinksUpToDate>false</LinksUpToDate>
  <CharactersWithSpaces>5580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2024-06-21T11:49:00Z</dcterms:created>
  <dc:creator>庞晖</dc:creator>
  <cp:lastModifiedBy>yj</cp:lastModifiedBy>
  <cp:lastPrinted>2024-06-23T00:13:00Z</cp:lastPrinted>
  <dcterms:modified xsi:type="dcterms:W3CDTF">2024-06-24T14:59:36Z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B63002E500B74AB9B0B5351C469A58A5</vt:lpwstr>
  </property>
</Properties>
</file>