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DD455">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方正黑体_GBK" w:cs="方正黑体_GBK"/>
          <w:b w:val="0"/>
          <w:bCs w:val="0"/>
          <w:snapToGrid/>
          <w:color w:val="auto"/>
          <w:kern w:val="2"/>
          <w:sz w:val="32"/>
          <w:szCs w:val="32"/>
          <w:lang w:val="en-US" w:eastAsia="zh-CN"/>
        </w:rPr>
      </w:pPr>
      <w:bookmarkStart w:id="0" w:name="_Toc742590939_WPSOffice_Level1"/>
      <w:bookmarkStart w:id="1" w:name="_Toc2244"/>
      <w:r>
        <w:rPr>
          <w:rFonts w:hint="eastAsia" w:ascii="宋体" w:hAnsi="宋体" w:eastAsia="方正黑体_GBK" w:cs="方正黑体_GBK"/>
          <w:b w:val="0"/>
          <w:bCs w:val="0"/>
          <w:snapToGrid/>
          <w:color w:val="auto"/>
          <w:kern w:val="2"/>
          <w:sz w:val="32"/>
          <w:szCs w:val="32"/>
          <w:lang w:val="en-US" w:eastAsia="zh-CN"/>
        </w:rPr>
        <w:t>附件2</w:t>
      </w:r>
    </w:p>
    <w:p w14:paraId="3438F140">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方正小标宋简体"/>
          <w:color w:val="auto"/>
          <w:sz w:val="44"/>
          <w:szCs w:val="44"/>
          <w:lang w:eastAsia="zh-CN"/>
        </w:rPr>
      </w:pPr>
    </w:p>
    <w:bookmarkEnd w:id="0"/>
    <w:bookmarkEnd w:id="1"/>
    <w:p w14:paraId="5F3C8AC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方正小标宋_GBK" w:cs="Times New Roman Regular"/>
          <w:b w:val="0"/>
          <w:bCs w:val="0"/>
          <w:color w:val="auto"/>
          <w:sz w:val="44"/>
          <w:szCs w:val="44"/>
          <w:lang w:eastAsia="zh-CN"/>
        </w:rPr>
      </w:pPr>
      <w:r>
        <w:rPr>
          <w:rFonts w:hint="eastAsia" w:ascii="宋体" w:hAnsi="宋体" w:eastAsia="方正小标宋_GBK" w:cs="Times New Roman Regular"/>
          <w:b w:val="0"/>
          <w:bCs w:val="0"/>
          <w:color w:val="auto"/>
          <w:sz w:val="44"/>
          <w:szCs w:val="44"/>
          <w:lang w:eastAsia="zh-CN"/>
        </w:rPr>
        <w:t>关于临时应急避难场所设置管理办法</w:t>
      </w:r>
    </w:p>
    <w:p w14:paraId="1B9E174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方正小标宋_GBK" w:cs="Times New Roman Regular"/>
          <w:b w:val="0"/>
          <w:bCs w:val="0"/>
          <w:color w:val="auto"/>
          <w:sz w:val="44"/>
          <w:szCs w:val="44"/>
          <w:lang w:eastAsia="zh-CN"/>
        </w:rPr>
      </w:pPr>
      <w:r>
        <w:rPr>
          <w:rFonts w:hint="eastAsia" w:ascii="宋体" w:hAnsi="宋体" w:eastAsia="方正小标宋_GBK" w:cs="Times New Roman Regular"/>
          <w:b w:val="0"/>
          <w:bCs w:val="0"/>
          <w:color w:val="auto"/>
          <w:sz w:val="44"/>
          <w:szCs w:val="44"/>
          <w:lang w:eastAsia="zh-CN"/>
        </w:rPr>
        <w:t>（征求意见稿）的起草说明</w:t>
      </w:r>
    </w:p>
    <w:p w14:paraId="06694E9C">
      <w:pPr>
        <w:keepNext w:val="0"/>
        <w:keepLines w:val="0"/>
        <w:pageBreakBefore w:val="0"/>
        <w:widowControl w:val="0"/>
        <w:kinsoku/>
        <w:wordWrap/>
        <w:topLinePunct w:val="0"/>
        <w:autoSpaceDE/>
        <w:autoSpaceDN/>
        <w:bidi w:val="0"/>
        <w:adjustRightInd/>
        <w:snapToGrid/>
        <w:spacing w:line="600" w:lineRule="exact"/>
        <w:textAlignment w:val="auto"/>
        <w:rPr>
          <w:rFonts w:hint="eastAsia" w:ascii="宋体" w:hAnsi="宋体" w:eastAsia="宋体" w:cs="Times New Roman"/>
          <w:sz w:val="21"/>
          <w:szCs w:val="22"/>
        </w:rPr>
      </w:pPr>
    </w:p>
    <w:p w14:paraId="57D880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val="0"/>
          <w:bCs w:val="0"/>
          <w:color w:val="auto"/>
          <w:sz w:val="32"/>
          <w:szCs w:val="32"/>
          <w:lang w:val="en-US" w:eastAsia="zh-CN"/>
        </w:rPr>
        <w:t>为深入贯彻落实习近平总书记关于应急管理的重要论述和党中央、国务院决策部署，加强临时应急避难场所的设置管理工作，根据《中华人民共和国突发事件应对法》《自然灾害救助条例》等法律法规，以及应急管理部等12部门《关于加强应急避难场所建设的指导意见》等规定，应急管理部牵头组织起草了《临时应急避难场所设置管理办法（征求意见稿）》（以下简称</w:t>
      </w:r>
      <w:bookmarkStart w:id="2" w:name="_Hlk170308129"/>
      <w:r>
        <w:rPr>
          <w:rFonts w:hint="eastAsia" w:ascii="宋体" w:hAnsi="宋体" w:eastAsia="仿宋_GB2312"/>
          <w:b w:val="0"/>
          <w:bCs w:val="0"/>
          <w:color w:val="auto"/>
          <w:sz w:val="32"/>
          <w:szCs w:val="32"/>
          <w:lang w:val="en-US" w:eastAsia="zh-CN"/>
        </w:rPr>
        <w:t>“管理办法”</w:t>
      </w:r>
      <w:bookmarkEnd w:id="2"/>
      <w:r>
        <w:rPr>
          <w:rFonts w:hint="eastAsia" w:ascii="宋体" w:hAnsi="宋体" w:eastAsia="仿宋_GB2312"/>
          <w:b w:val="0"/>
          <w:bCs w:val="0"/>
          <w:color w:val="auto"/>
          <w:sz w:val="32"/>
          <w:szCs w:val="32"/>
          <w:lang w:val="en-US" w:eastAsia="zh-CN"/>
        </w:rPr>
        <w:t>），现就有关情况简要说明如下：</w:t>
      </w:r>
    </w:p>
    <w:p w14:paraId="39E9DC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cs="方正黑体_GBK"/>
          <w:b w:val="0"/>
          <w:bCs w:val="0"/>
          <w:color w:val="auto"/>
          <w:sz w:val="32"/>
          <w:szCs w:val="32"/>
          <w:lang w:val="en" w:eastAsia="zh-CN"/>
        </w:rPr>
      </w:pPr>
      <w:r>
        <w:rPr>
          <w:rFonts w:hint="eastAsia" w:ascii="宋体" w:hAnsi="宋体" w:eastAsia="方正黑体_GBK" w:cs="方正黑体_GBK"/>
          <w:b w:val="0"/>
          <w:bCs w:val="0"/>
          <w:color w:val="auto"/>
          <w:sz w:val="32"/>
          <w:szCs w:val="32"/>
          <w:lang w:val="en" w:eastAsia="zh-CN"/>
        </w:rPr>
        <w:t>一、起草主要背景</w:t>
      </w:r>
    </w:p>
    <w:p w14:paraId="36D466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val="0"/>
          <w:bCs w:val="0"/>
          <w:color w:val="auto"/>
          <w:sz w:val="32"/>
          <w:szCs w:val="32"/>
          <w:lang w:val="en-US" w:eastAsia="zh-CN"/>
        </w:rPr>
        <w:t>我国自然灾害易发多发，全国平均每年因各种自然灾害造成1亿左右人次不同程度受灾、数百万甚至上千万人次转移避险避难，对需集中安置的受灾群众，地方各级党委政府利用常设应急避难场所和临时应急避难场所进行妥善安置，最大程度减轻灾害损失和影响。我国应急避难场所建设起步于本世纪初，经过多年的建设发展，全国31个省（区、市）和新疆生产建设兵团已建成常设应急避难场所16万余个，积累了相当规模的资源，但存在缺乏统筹指导、标准规范不统一、分级分类不够科学、功能设施简单、管护机制还不健全、城乡发展不平衡等问题。</w:t>
      </w:r>
    </w:p>
    <w:p w14:paraId="7314CE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val="0"/>
          <w:bCs w:val="0"/>
          <w:color w:val="auto"/>
          <w:sz w:val="32"/>
          <w:szCs w:val="32"/>
          <w:lang w:val="en-US" w:eastAsia="zh-CN"/>
        </w:rPr>
        <w:t>习近平总书记强调，对应急避难场所要高度重视，科学合理规划、高标准建设。2018年党和国家机构改革后，应急管理部门承担了推动应急避难场所建设的职责，其他相关管理部门协同配合，全国应急避难场所建设进入新的发展阶段。近年来，应急管理部会同相关部门、单位和专家加大工作力度，一方面压茬推进全国应急避难场所顶层政策制度设计和落地落实，另一方面对全国已建成的常设应急避难场所存在的主要问题不足进行认真分析研究。过去已建成的大多数存量常设应急避难场所主要集中在县区以上城镇地区，而且多数是室外场所，乡村地区较少，布局不合理，标准偏低、功能简陋，有的年久失修破败，还有的只是立了标志牌，缺乏设施设备和物资，在灾害事故发生时，常设应急避难场所往往难以满足受灾群众转移避险和避难安置需要，各地通常指定乡镇政府和村委会办公用房、中小学校、酒店宾馆，以及空旷场地通过搭建帐篷或活动板房等设置临时应急避难场所，作为常设应急避难场所的补充，据不完全统计，全国各地设置的临时应急避难场所次数占常设应急避难场所数量10%以上，但一些地区事前缺乏对临时应急避难场所资源调查评估和登记造册，设置的随意性较大，导致有的场所未避开洪涝和山洪、地质灾害等危险区域，有的场所存在设防标准低或建筑及场地安全隐患等，适用性和安全性不够，容易带来二次灾害事故风险，同时也缺乏规范设置管理，缺少必要的功能区和设施设备及物资等，部分场所应急结束后也未及时撤销设置或恢复原功能。</w:t>
      </w:r>
    </w:p>
    <w:p w14:paraId="49C51F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val="0"/>
          <w:bCs w:val="0"/>
          <w:color w:val="auto"/>
          <w:sz w:val="32"/>
          <w:szCs w:val="32"/>
          <w:lang w:val="en-US" w:eastAsia="zh-CN"/>
        </w:rPr>
        <w:t>现阶段的主要任务是，充分发挥各级应急管理部门统筹协调指导和其他相关管理部门协同配合的职能作用，合力推动应急避难场所建设实现由量的积累向质的提升转变，在质的提升同时，保证量的合理增长，一是积极推动全国存量常设应急避难场所改造提升，另一方面加强和规范全国临时应急避难场所的设置管理，健全完善以常设应急避难场所为主体、临时应急避难场所为补充的多层次应急避难场所体系。</w:t>
      </w:r>
    </w:p>
    <w:p w14:paraId="74362F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二、起草总体思路</w:t>
      </w:r>
    </w:p>
    <w:p w14:paraId="2AC556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b w:val="0"/>
          <w:bCs w:val="0"/>
          <w:color w:val="auto"/>
          <w:sz w:val="32"/>
          <w:szCs w:val="32"/>
          <w:lang w:val="en-US" w:eastAsia="zh-CN"/>
        </w:rPr>
      </w:pPr>
      <w:r>
        <w:rPr>
          <w:rFonts w:hint="eastAsia" w:ascii="宋体" w:hAnsi="宋体" w:eastAsia="方正黑体_GBK" w:cs="方正黑体_GBK"/>
          <w:sz w:val="32"/>
          <w:szCs w:val="32"/>
          <w:lang w:val="en"/>
        </w:rPr>
        <w:t>管理办法征求意见后，拟联合国务院有关部门印发实施。</w:t>
      </w:r>
      <w:r>
        <w:rPr>
          <w:rFonts w:hint="eastAsia" w:ascii="宋体" w:hAnsi="宋体" w:eastAsia="仿宋_GB2312"/>
          <w:b w:val="0"/>
          <w:bCs w:val="0"/>
          <w:color w:val="auto"/>
          <w:sz w:val="32"/>
          <w:szCs w:val="32"/>
          <w:lang w:val="en" w:eastAsia="zh-CN"/>
        </w:rPr>
        <w:t>该</w:t>
      </w:r>
      <w:r>
        <w:rPr>
          <w:rFonts w:hint="eastAsia" w:ascii="宋体" w:hAnsi="宋体" w:eastAsia="仿宋_GB2312"/>
          <w:b w:val="0"/>
          <w:bCs w:val="0"/>
          <w:color w:val="auto"/>
          <w:sz w:val="32"/>
          <w:szCs w:val="32"/>
          <w:lang w:val="en-US" w:eastAsia="zh-CN"/>
        </w:rPr>
        <w:t>办法的起草工作，坚持以习近平新时代中国特色社会主义思想为指导，深入贯彻党的二十大精神和二中、三中全会精神，统筹发展和安全，根据《中华人民共和国突发事件应对法》《自然灾害救助条例》等法律法规，以及应急管理部等12部门《关于加强应急避难场所建设的指导意见》等有关规定，基于以下总体思路编写相关内容。</w:t>
      </w:r>
    </w:p>
    <w:p w14:paraId="37BFD01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bCs/>
          <w:color w:val="auto"/>
          <w:sz w:val="32"/>
          <w:szCs w:val="32"/>
          <w:lang w:val="en-US" w:eastAsia="zh-CN"/>
        </w:rPr>
        <w:t>一是明确管理办法的适用范围。</w:t>
      </w:r>
      <w:r>
        <w:rPr>
          <w:rFonts w:hint="eastAsia" w:ascii="宋体" w:hAnsi="宋体" w:eastAsia="仿宋_GB2312"/>
          <w:b w:val="0"/>
          <w:bCs w:val="0"/>
          <w:color w:val="auto"/>
          <w:sz w:val="32"/>
          <w:szCs w:val="32"/>
          <w:lang w:val="en-US" w:eastAsia="zh-CN"/>
        </w:rPr>
        <w:t>管理办法的适用范围包括临时应急避难场所资源的调查与评估、临时应急避难场所的设置与运行管理以及关闭与功能恢复等活动。</w:t>
      </w:r>
    </w:p>
    <w:p w14:paraId="4BC7408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bCs/>
          <w:color w:val="auto"/>
          <w:sz w:val="32"/>
          <w:szCs w:val="32"/>
          <w:lang w:val="en-US" w:eastAsia="zh-CN"/>
        </w:rPr>
        <w:t>二是明确临时应急避难场所总体要求。</w:t>
      </w:r>
      <w:r>
        <w:rPr>
          <w:rFonts w:hint="eastAsia" w:ascii="宋体" w:hAnsi="宋体" w:eastAsia="仿宋_GB2312"/>
          <w:b w:val="0"/>
          <w:bCs w:val="0"/>
          <w:color w:val="auto"/>
          <w:sz w:val="32"/>
          <w:szCs w:val="32"/>
          <w:lang w:val="en-US" w:eastAsia="zh-CN"/>
        </w:rPr>
        <w:t>坚持分级负责、属地为主、因地制宜、合理规范、安全便利、功能适宜的原则，加强临时应急避难场所的设置管理，健全完善以常设应急避难场所为主体、临时应急避难场所为补充的多层次应急避难场所体系。</w:t>
      </w:r>
    </w:p>
    <w:p w14:paraId="0D2477D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bCs/>
          <w:color w:val="auto"/>
          <w:sz w:val="32"/>
          <w:szCs w:val="32"/>
          <w:lang w:val="en-US" w:eastAsia="zh-CN"/>
        </w:rPr>
        <w:t>三是明确临时应急避难场所责任分工。</w:t>
      </w:r>
      <w:r>
        <w:rPr>
          <w:rFonts w:hint="eastAsia" w:ascii="宋体" w:hAnsi="宋体" w:eastAsia="仿宋_GB2312"/>
          <w:b w:val="0"/>
          <w:bCs w:val="0"/>
          <w:color w:val="auto"/>
          <w:sz w:val="32"/>
          <w:szCs w:val="32"/>
          <w:lang w:val="en-US" w:eastAsia="zh-CN"/>
        </w:rPr>
        <w:t>县级以上人民政府应急管理部门应加强统筹协调指导和监督，其他相关部门应强化协同配合、分工负责，共同履行临时应急避难场所管理部门职职责。临时应急避难场所管理单位及运维单位应落实管理运维职责。</w:t>
      </w:r>
    </w:p>
    <w:p w14:paraId="7174ADE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bCs/>
          <w:color w:val="auto"/>
          <w:sz w:val="32"/>
          <w:szCs w:val="32"/>
          <w:lang w:val="en-US" w:eastAsia="zh-CN"/>
        </w:rPr>
        <w:t>四是规范应急避难场所资源调查与评估要求。</w:t>
      </w:r>
      <w:r>
        <w:rPr>
          <w:rFonts w:hint="eastAsia" w:ascii="宋体" w:hAnsi="宋体" w:eastAsia="仿宋_GB2312"/>
          <w:b w:val="0"/>
          <w:bCs w:val="0"/>
          <w:color w:val="auto"/>
          <w:sz w:val="32"/>
          <w:szCs w:val="32"/>
          <w:lang w:val="en-US" w:eastAsia="zh-CN"/>
        </w:rPr>
        <w:t>管理部门应组织对本行政区域内潜在临时应急避难场所资源开展调查，以及对场址安全性、防护标准、通达性、功能设施等方面进行评估。经评估基本符合要求的资源，确定为临时应急避难场所资源，并将有关信息及时录入全国应急避难场所系统登记造册、规范管理。</w:t>
      </w:r>
    </w:p>
    <w:p w14:paraId="1FE84D3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bCs/>
          <w:color w:val="auto"/>
          <w:sz w:val="32"/>
          <w:szCs w:val="32"/>
          <w:lang w:val="en-US" w:eastAsia="zh-CN"/>
        </w:rPr>
        <w:t>五是规范临时应急避难场所设置与运行管理要求。</w:t>
      </w:r>
      <w:r>
        <w:rPr>
          <w:rFonts w:hint="eastAsia" w:ascii="宋体" w:hAnsi="宋体" w:eastAsia="仿宋_GB2312"/>
          <w:b w:val="0"/>
          <w:bCs w:val="0"/>
          <w:color w:val="auto"/>
          <w:sz w:val="32"/>
          <w:szCs w:val="32"/>
          <w:lang w:val="en-US" w:eastAsia="zh-CN"/>
        </w:rPr>
        <w:t>当应急避难处置时出现常设应急避难场所难以满足需求等情况，县级以上地方人民政府相关管理部门应优先指定全国应急避难场所系统中登记的公共建筑设置为临时应急避难场所，当公共建筑无法满足需求时，可指定场地空间通过搭建帐篷或活动板房等设置为临时应急避难场所。临时应急避难场所启用前，管理部门应及时组织对场所进行应急评估。临时应急避难场所启用后，管理单位、运维单位应进行平急转换，设置必要的标志，对应急避难人员进行登记管理、提供集散与宿住服务管理，做好信息服务与报告，维护场所秩序与加强安全管理。</w:t>
      </w:r>
    </w:p>
    <w:p w14:paraId="7E39990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bCs/>
          <w:color w:val="auto"/>
          <w:sz w:val="32"/>
          <w:szCs w:val="32"/>
          <w:lang w:val="en-US" w:eastAsia="zh-CN"/>
        </w:rPr>
        <w:t>六是规范临时应急避难场所关闭与功能恢复要求。</w:t>
      </w:r>
      <w:r>
        <w:rPr>
          <w:rFonts w:hint="eastAsia" w:ascii="宋体" w:hAnsi="宋体" w:eastAsia="仿宋_GB2312"/>
          <w:b w:val="0"/>
          <w:bCs w:val="0"/>
          <w:color w:val="auto"/>
          <w:sz w:val="32"/>
          <w:szCs w:val="32"/>
          <w:lang w:val="en-US" w:eastAsia="zh-CN"/>
        </w:rPr>
        <w:t>应急避难处置工作结束后，管理单位和运维单位应及时组织应急避难人员有序疏散撤离，并组织管理人员检查、收集、清点设施设备及物资，关闭临时应急避难场所，撤销其设置。临时应急避难场所撤销设置、恢复原功能后，可将其继续作为临时应急避难场所资源登记备案，对于条件较好的临时应急避难场所资源，也可经管理部门评估后，按照相关标准改造为常设应急避难场所。管理部门应及时组织管理单位和运维单位等，对临时应急避难场所设置管理情况进行总结，提出改进完善措施，提升临时应急避难场所设置管理水平。</w:t>
      </w:r>
    </w:p>
    <w:p w14:paraId="64AB68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三、管理办法主要内容</w:t>
      </w:r>
    </w:p>
    <w:p w14:paraId="573B46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val="0"/>
          <w:bCs w:val="0"/>
          <w:color w:val="auto"/>
          <w:sz w:val="32"/>
          <w:szCs w:val="32"/>
          <w:lang w:val="en-US" w:eastAsia="zh-CN"/>
        </w:rPr>
        <w:t xml:space="preserve">管理办法包括总则、资源调查与评估、设置与运行管理、关闭与功能恢复和附则共5章26条，以及相关释义。主要内容如下： </w:t>
      </w:r>
    </w:p>
    <w:p w14:paraId="2230D38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bCs/>
          <w:color w:val="auto"/>
          <w:sz w:val="32"/>
          <w:szCs w:val="32"/>
          <w:lang w:val="en-US" w:eastAsia="zh-CN"/>
        </w:rPr>
        <w:t>第一章总则。</w:t>
      </w:r>
      <w:r>
        <w:rPr>
          <w:rFonts w:hint="eastAsia" w:ascii="宋体" w:hAnsi="宋体" w:eastAsia="仿宋_GB2312"/>
          <w:b w:val="0"/>
          <w:bCs w:val="0"/>
          <w:color w:val="auto"/>
          <w:sz w:val="32"/>
          <w:szCs w:val="32"/>
          <w:lang w:val="en-US" w:eastAsia="zh-CN"/>
        </w:rPr>
        <w:t>包括编制依据、适用范围、总体要求和责任分工4条内容。</w:t>
      </w:r>
    </w:p>
    <w:p w14:paraId="0408DC5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bCs/>
          <w:color w:val="auto"/>
          <w:sz w:val="32"/>
          <w:szCs w:val="32"/>
          <w:lang w:val="en-US" w:eastAsia="zh-CN"/>
        </w:rPr>
        <w:t>第二章资源调查与评估。</w:t>
      </w:r>
      <w:r>
        <w:rPr>
          <w:rFonts w:hint="eastAsia" w:ascii="宋体" w:hAnsi="宋体" w:eastAsia="仿宋_GB2312"/>
          <w:b w:val="0"/>
          <w:bCs w:val="0"/>
          <w:color w:val="auto"/>
          <w:sz w:val="32"/>
          <w:szCs w:val="32"/>
          <w:lang w:val="en-US" w:eastAsia="zh-CN"/>
        </w:rPr>
        <w:t>包括临时应急避难场所资源调查、场址安全性评估、防护标准评估、通达性评估、功能设施评估、资源确定及管理等6条内容。</w:t>
      </w:r>
    </w:p>
    <w:p w14:paraId="1880645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bCs/>
          <w:color w:val="auto"/>
          <w:sz w:val="32"/>
          <w:szCs w:val="32"/>
          <w:lang w:val="en-US" w:eastAsia="zh-CN"/>
        </w:rPr>
        <w:t>第三章设置与运行管理。</w:t>
      </w:r>
      <w:r>
        <w:rPr>
          <w:rFonts w:hint="eastAsia" w:ascii="宋体" w:hAnsi="宋体" w:eastAsia="仿宋_GB2312"/>
          <w:b w:val="0"/>
          <w:bCs w:val="0"/>
          <w:color w:val="auto"/>
          <w:sz w:val="32"/>
          <w:szCs w:val="32"/>
          <w:lang w:val="en-US" w:eastAsia="zh-CN"/>
        </w:rPr>
        <w:t>包括临时应急避难场所设置决定、应急评估、平急转换、标志设置、人员登记管理、集散与宿住服务、信息服务与报告、安保管理等8条内容。</w:t>
      </w:r>
    </w:p>
    <w:p w14:paraId="1AE8A1D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bCs/>
          <w:color w:val="auto"/>
          <w:sz w:val="32"/>
          <w:szCs w:val="32"/>
          <w:lang w:val="en-US" w:eastAsia="zh-CN"/>
        </w:rPr>
        <w:t>第四章关闭与功能恢复。</w:t>
      </w:r>
      <w:r>
        <w:rPr>
          <w:rFonts w:hint="eastAsia" w:ascii="宋体" w:hAnsi="宋体" w:eastAsia="仿宋_GB2312"/>
          <w:b w:val="0"/>
          <w:bCs w:val="0"/>
          <w:color w:val="auto"/>
          <w:sz w:val="32"/>
          <w:szCs w:val="32"/>
          <w:lang w:val="en-US" w:eastAsia="zh-CN"/>
        </w:rPr>
        <w:t>包括临时应急避难场所关闭、功能恢复与后续使用、评估总结等3条内容。</w:t>
      </w:r>
    </w:p>
    <w:p w14:paraId="54E7FC6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仿宋_GB2312"/>
          <w:b w:val="0"/>
          <w:bCs w:val="0"/>
          <w:color w:val="auto"/>
          <w:sz w:val="32"/>
          <w:szCs w:val="32"/>
          <w:lang w:val="en-US" w:eastAsia="zh-CN"/>
        </w:rPr>
      </w:pPr>
      <w:r>
        <w:rPr>
          <w:rFonts w:hint="eastAsia" w:ascii="宋体" w:hAnsi="宋体" w:eastAsia="仿宋_GB2312"/>
          <w:b/>
          <w:bCs/>
          <w:color w:val="auto"/>
          <w:sz w:val="32"/>
          <w:szCs w:val="32"/>
          <w:lang w:val="en-US" w:eastAsia="zh-CN"/>
        </w:rPr>
        <w:t>第五章附则。</w:t>
      </w:r>
      <w:r>
        <w:rPr>
          <w:rFonts w:hint="eastAsia" w:ascii="宋体" w:hAnsi="宋体" w:eastAsia="仿宋_GB2312"/>
          <w:b w:val="0"/>
          <w:bCs w:val="0"/>
          <w:color w:val="auto"/>
          <w:sz w:val="32"/>
          <w:szCs w:val="32"/>
          <w:lang w:val="en-US" w:eastAsia="zh-CN"/>
        </w:rPr>
        <w:t>包括项目资金保障、罚则规定、</w:t>
      </w:r>
      <w:bookmarkStart w:id="3" w:name="_GoBack"/>
      <w:bookmarkEnd w:id="3"/>
      <w:r>
        <w:rPr>
          <w:rFonts w:hint="eastAsia" w:ascii="宋体" w:hAnsi="宋体" w:eastAsia="仿宋_GB2312"/>
          <w:b w:val="0"/>
          <w:bCs w:val="0"/>
          <w:color w:val="auto"/>
          <w:sz w:val="32"/>
          <w:szCs w:val="32"/>
          <w:lang w:val="en-US" w:eastAsia="zh-CN"/>
        </w:rPr>
        <w:t>解释权和施行日期等4条内容。</w:t>
      </w:r>
    </w:p>
    <w:p w14:paraId="0B08EE0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宋体" w:hAnsi="宋体" w:eastAsia="仿宋_GB2312"/>
          <w:b w:val="0"/>
          <w:bCs w:val="0"/>
          <w:color w:val="auto"/>
          <w:sz w:val="32"/>
          <w:szCs w:val="32"/>
          <w:lang w:val="en-US" w:eastAsia="zh-CN"/>
        </w:rPr>
      </w:pPr>
      <w:r>
        <w:rPr>
          <w:rFonts w:hint="eastAsia" w:ascii="宋体" w:hAnsi="宋体" w:eastAsia="仿宋_GB2312"/>
          <w:b/>
          <w:bCs/>
          <w:color w:val="auto"/>
          <w:sz w:val="32"/>
          <w:szCs w:val="32"/>
          <w:lang w:val="en-US" w:eastAsia="zh-CN"/>
        </w:rPr>
        <w:t>相关释义。</w:t>
      </w:r>
      <w:r>
        <w:rPr>
          <w:rFonts w:hint="eastAsia" w:ascii="宋体" w:hAnsi="宋体" w:eastAsia="仿宋_GB2312"/>
          <w:b w:val="0"/>
          <w:bCs w:val="0"/>
          <w:color w:val="auto"/>
          <w:sz w:val="32"/>
          <w:szCs w:val="32"/>
          <w:lang w:val="en-US" w:eastAsia="zh-CN"/>
        </w:rPr>
        <w:t>包括临时应急避难场所资源、常设应急避难场所、临时应急避难场所、避难种类等4条相关释义。</w:t>
      </w:r>
    </w:p>
    <w:p w14:paraId="7B228AAF">
      <w:pPr>
        <w:pStyle w:val="2"/>
        <w:keepNext w:val="0"/>
        <w:keepLines w:val="0"/>
        <w:pageBreakBefore w:val="0"/>
        <w:widowControl w:val="0"/>
        <w:kinsoku/>
        <w:wordWrap/>
        <w:topLinePunct w:val="0"/>
        <w:autoSpaceDE/>
        <w:autoSpaceDN/>
        <w:bidi w:val="0"/>
        <w:adjustRightInd/>
        <w:snapToGrid/>
        <w:spacing w:after="0" w:line="600" w:lineRule="exact"/>
        <w:textAlignment w:val="auto"/>
        <w:rPr>
          <w:rFonts w:hint="default" w:ascii="宋体" w:hAnsi="宋体"/>
          <w:lang w:val="en-US" w:eastAsia="zh-CN"/>
        </w:rPr>
      </w:pPr>
    </w:p>
    <w:p w14:paraId="0BEBF48D">
      <w:pPr>
        <w:pStyle w:val="3"/>
        <w:keepNext w:val="0"/>
        <w:keepLines w:val="0"/>
        <w:pageBreakBefore w:val="0"/>
        <w:widowControl w:val="0"/>
        <w:kinsoku/>
        <w:wordWrap/>
        <w:topLinePunct w:val="0"/>
        <w:autoSpaceDE/>
        <w:autoSpaceDN/>
        <w:bidi w:val="0"/>
        <w:adjustRightInd/>
        <w:snapToGrid/>
        <w:spacing w:line="600" w:lineRule="exact"/>
        <w:textAlignment w:val="auto"/>
        <w:rPr>
          <w:rFonts w:hint="default" w:ascii="宋体" w:hAnsi="宋体"/>
          <w:lang w:val="en-US" w:eastAsia="zh-CN"/>
        </w:rPr>
      </w:pPr>
    </w:p>
    <w:p w14:paraId="515C8183">
      <w:pPr>
        <w:keepNext w:val="0"/>
        <w:keepLines w:val="0"/>
        <w:pageBreakBefore w:val="0"/>
        <w:widowControl w:val="0"/>
        <w:kinsoku/>
        <w:wordWrap/>
        <w:topLinePunct w:val="0"/>
        <w:autoSpaceDE/>
        <w:autoSpaceDN/>
        <w:bidi w:val="0"/>
        <w:adjustRightInd/>
        <w:snapToGrid/>
        <w:spacing w:line="600" w:lineRule="exact"/>
        <w:textAlignment w:val="auto"/>
        <w:rPr>
          <w:rFonts w:hint="default" w:ascii="宋体" w:hAnsi="宋体"/>
          <w:lang w:val="en-US" w:eastAsia="zh-CN"/>
        </w:rPr>
      </w:pPr>
    </w:p>
    <w:p w14:paraId="3BA1CA91">
      <w:pPr>
        <w:pStyle w:val="2"/>
        <w:keepNext w:val="0"/>
        <w:keepLines w:val="0"/>
        <w:pageBreakBefore w:val="0"/>
        <w:widowControl w:val="0"/>
        <w:kinsoku/>
        <w:wordWrap/>
        <w:topLinePunct w:val="0"/>
        <w:autoSpaceDE/>
        <w:autoSpaceDN/>
        <w:bidi w:val="0"/>
        <w:adjustRightInd/>
        <w:snapToGrid/>
        <w:spacing w:after="0" w:line="600" w:lineRule="exact"/>
        <w:textAlignment w:val="auto"/>
        <w:rPr>
          <w:rFonts w:hint="default" w:ascii="宋体" w:hAnsi="宋体"/>
          <w:lang w:val="en-US" w:eastAsia="zh-CN"/>
        </w:rPr>
      </w:pPr>
    </w:p>
    <w:p w14:paraId="75A96BBF">
      <w:pPr>
        <w:pStyle w:val="3"/>
        <w:keepNext w:val="0"/>
        <w:keepLines w:val="0"/>
        <w:pageBreakBefore w:val="0"/>
        <w:widowControl w:val="0"/>
        <w:kinsoku/>
        <w:wordWrap/>
        <w:topLinePunct w:val="0"/>
        <w:autoSpaceDE/>
        <w:autoSpaceDN/>
        <w:bidi w:val="0"/>
        <w:adjustRightInd/>
        <w:snapToGrid/>
        <w:spacing w:line="600" w:lineRule="exact"/>
        <w:textAlignment w:val="auto"/>
        <w:rPr>
          <w:rFonts w:hint="default" w:ascii="宋体" w:hAnsi="宋体"/>
          <w:lang w:val="en-US" w:eastAsia="zh-CN"/>
        </w:rPr>
      </w:pPr>
    </w:p>
    <w:p w14:paraId="43C5B4E0">
      <w:pPr>
        <w:keepNext w:val="0"/>
        <w:keepLines w:val="0"/>
        <w:pageBreakBefore w:val="0"/>
        <w:widowControl w:val="0"/>
        <w:kinsoku/>
        <w:wordWrap/>
        <w:topLinePunct w:val="0"/>
        <w:autoSpaceDE/>
        <w:autoSpaceDN/>
        <w:bidi w:val="0"/>
        <w:adjustRightInd/>
        <w:snapToGrid/>
        <w:spacing w:line="600" w:lineRule="exact"/>
        <w:textAlignment w:val="auto"/>
        <w:rPr>
          <w:rFonts w:hint="default" w:ascii="宋体" w:hAnsi="宋体"/>
          <w:lang w:val="en-US" w:eastAsia="zh-CN"/>
        </w:rPr>
      </w:pPr>
    </w:p>
    <w:p w14:paraId="541AC1C1">
      <w:pPr>
        <w:pStyle w:val="2"/>
        <w:keepNext w:val="0"/>
        <w:keepLines w:val="0"/>
        <w:pageBreakBefore w:val="0"/>
        <w:widowControl w:val="0"/>
        <w:kinsoku/>
        <w:wordWrap/>
        <w:topLinePunct w:val="0"/>
        <w:autoSpaceDE/>
        <w:autoSpaceDN/>
        <w:bidi w:val="0"/>
        <w:adjustRightInd/>
        <w:snapToGrid/>
        <w:spacing w:after="0" w:line="600" w:lineRule="exact"/>
        <w:textAlignment w:val="auto"/>
        <w:rPr>
          <w:rFonts w:hint="default" w:ascii="宋体" w:hAnsi="宋体"/>
          <w:lang w:val="en-US" w:eastAsia="zh-CN"/>
        </w:rPr>
      </w:pPr>
    </w:p>
    <w:p w14:paraId="19679B39">
      <w:pPr>
        <w:pStyle w:val="3"/>
        <w:keepNext w:val="0"/>
        <w:keepLines w:val="0"/>
        <w:pageBreakBefore w:val="0"/>
        <w:widowControl w:val="0"/>
        <w:kinsoku/>
        <w:wordWrap/>
        <w:topLinePunct w:val="0"/>
        <w:autoSpaceDE/>
        <w:autoSpaceDN/>
        <w:bidi w:val="0"/>
        <w:adjustRightInd/>
        <w:snapToGrid/>
        <w:spacing w:line="600" w:lineRule="exact"/>
        <w:textAlignment w:val="auto"/>
        <w:rPr>
          <w:rFonts w:hint="default" w:ascii="宋体" w:hAnsi="宋体"/>
          <w:lang w:val="en-US" w:eastAsia="zh-CN"/>
        </w:rPr>
      </w:pPr>
    </w:p>
    <w:p w14:paraId="6466BFF4">
      <w:pPr>
        <w:keepNext w:val="0"/>
        <w:keepLines w:val="0"/>
        <w:pageBreakBefore w:val="0"/>
        <w:widowControl w:val="0"/>
        <w:kinsoku/>
        <w:wordWrap/>
        <w:topLinePunct w:val="0"/>
        <w:autoSpaceDE/>
        <w:autoSpaceDN/>
        <w:bidi w:val="0"/>
        <w:adjustRightInd/>
        <w:snapToGrid/>
        <w:spacing w:line="600" w:lineRule="exact"/>
        <w:textAlignment w:val="auto"/>
        <w:rPr>
          <w:rFonts w:hint="default" w:ascii="宋体" w:hAnsi="宋体"/>
          <w:lang w:val="en-US" w:eastAsia="zh-CN"/>
        </w:rPr>
      </w:pPr>
    </w:p>
    <w:p w14:paraId="5456DE45">
      <w:pPr>
        <w:pStyle w:val="2"/>
        <w:keepNext w:val="0"/>
        <w:keepLines w:val="0"/>
        <w:pageBreakBefore w:val="0"/>
        <w:widowControl w:val="0"/>
        <w:kinsoku/>
        <w:wordWrap/>
        <w:topLinePunct w:val="0"/>
        <w:autoSpaceDE/>
        <w:autoSpaceDN/>
        <w:bidi w:val="0"/>
        <w:adjustRightInd/>
        <w:snapToGrid/>
        <w:spacing w:after="0" w:line="600" w:lineRule="exact"/>
        <w:textAlignment w:val="auto"/>
        <w:rPr>
          <w:rFonts w:hint="default" w:ascii="宋体" w:hAnsi="宋体"/>
          <w:lang w:val="en-US" w:eastAsia="zh-CN"/>
        </w:rPr>
      </w:pPr>
    </w:p>
    <w:p w14:paraId="282ED5A8">
      <w:pPr>
        <w:pStyle w:val="3"/>
        <w:keepNext w:val="0"/>
        <w:keepLines w:val="0"/>
        <w:pageBreakBefore w:val="0"/>
        <w:widowControl w:val="0"/>
        <w:kinsoku/>
        <w:wordWrap/>
        <w:topLinePunct w:val="0"/>
        <w:autoSpaceDE/>
        <w:autoSpaceDN/>
        <w:bidi w:val="0"/>
        <w:adjustRightInd/>
        <w:snapToGrid/>
        <w:spacing w:line="600" w:lineRule="exact"/>
        <w:textAlignment w:val="auto"/>
        <w:rPr>
          <w:rFonts w:hint="default" w:ascii="宋体" w:hAnsi="宋体"/>
          <w:lang w:val="en-US" w:eastAsia="zh-CN"/>
        </w:rPr>
      </w:pPr>
    </w:p>
    <w:p w14:paraId="75591D76">
      <w:pPr>
        <w:keepNext w:val="0"/>
        <w:keepLines w:val="0"/>
        <w:pageBreakBefore w:val="0"/>
        <w:widowControl w:val="0"/>
        <w:kinsoku/>
        <w:wordWrap/>
        <w:topLinePunct w:val="0"/>
        <w:autoSpaceDE/>
        <w:autoSpaceDN/>
        <w:bidi w:val="0"/>
        <w:adjustRightInd/>
        <w:snapToGrid/>
        <w:spacing w:line="600" w:lineRule="exact"/>
        <w:textAlignment w:val="auto"/>
        <w:rPr>
          <w:rFonts w:hint="default" w:ascii="宋体" w:hAnsi="宋体"/>
          <w:lang w:val="en-US" w:eastAsia="zh-CN"/>
        </w:rPr>
      </w:pPr>
    </w:p>
    <w:p w14:paraId="69268F19">
      <w:pPr>
        <w:pStyle w:val="2"/>
        <w:keepNext w:val="0"/>
        <w:keepLines w:val="0"/>
        <w:pageBreakBefore w:val="0"/>
        <w:widowControl w:val="0"/>
        <w:kinsoku/>
        <w:wordWrap/>
        <w:topLinePunct w:val="0"/>
        <w:autoSpaceDE/>
        <w:autoSpaceDN/>
        <w:bidi w:val="0"/>
        <w:adjustRightInd/>
        <w:snapToGrid/>
        <w:spacing w:after="0" w:line="600" w:lineRule="exact"/>
        <w:textAlignment w:val="auto"/>
        <w:rPr>
          <w:rFonts w:hint="default" w:ascii="宋体" w:hAnsi="宋体"/>
          <w:lang w:val="en-US" w:eastAsia="zh-CN"/>
        </w:rPr>
      </w:pPr>
    </w:p>
    <w:p w14:paraId="037DBED6">
      <w:pPr>
        <w:keepNext w:val="0"/>
        <w:keepLines w:val="0"/>
        <w:pageBreakBefore w:val="0"/>
        <w:widowControl w:val="0"/>
        <w:kinsoku/>
        <w:wordWrap/>
        <w:topLinePunct w:val="0"/>
        <w:autoSpaceDE/>
        <w:autoSpaceDN/>
        <w:bidi w:val="0"/>
        <w:adjustRightInd/>
        <w:snapToGrid/>
        <w:spacing w:line="600" w:lineRule="exact"/>
        <w:textAlignment w:val="auto"/>
        <w:rPr>
          <w:rFonts w:ascii="宋体" w:hAnsi="宋体"/>
        </w:rPr>
      </w:pPr>
    </w:p>
    <w:sectPr>
      <w:footerReference r:id="rId3" w:type="default"/>
      <w:pgSz w:w="11906" w:h="16838"/>
      <w:pgMar w:top="1667" w:right="1576" w:bottom="1383" w:left="1576" w:header="851" w:footer="70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E9B6">
    <w:pPr>
      <w:pStyle w:val="5"/>
      <w:jc w:val="center"/>
      <w:rPr>
        <w:rFonts w:ascii="宋体" w:hAnsi="宋体"/>
        <w:b/>
        <w:bCs/>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3C0997">
                          <w:pPr>
                            <w:pStyle w:val="5"/>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D3C0997">
                    <w:pPr>
                      <w:pStyle w:val="5"/>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t xml:space="preserve"> —</w:t>
                    </w:r>
                  </w:p>
                </w:txbxContent>
              </v:textbox>
            </v:shape>
          </w:pict>
        </mc:Fallback>
      </mc:AlternateContent>
    </w:r>
  </w:p>
  <w:p w14:paraId="553C997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ZGZhM2IyYWRkMzA0MDQ5MWUwYzQwZDY5MmE4ZWEifQ=="/>
  </w:docVars>
  <w:rsids>
    <w:rsidRoot w:val="1CE90C20"/>
    <w:rsid w:val="1CE90C20"/>
    <w:rsid w:val="4F0C664A"/>
    <w:rsid w:val="7B776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600" w:lineRule="exact"/>
    </w:pPr>
    <w:rPr>
      <w:rFonts w:ascii="Times New Roman" w:hAnsi="Times New Roman" w:eastAsia="仿宋_GB2312"/>
      <w:sz w:val="28"/>
      <w:szCs w:val="24"/>
    </w:rPr>
  </w:style>
  <w:style w:type="paragraph" w:styleId="3">
    <w:name w:val="toc 5"/>
    <w:basedOn w:val="1"/>
    <w:next w:val="1"/>
    <w:unhideWhenUsed/>
    <w:qFormat/>
    <w:uiPriority w:val="39"/>
    <w:pPr>
      <w:ind w:left="840"/>
      <w:jc w:val="left"/>
    </w:pPr>
    <w:rPr>
      <w:rFonts w:ascii="等线" w:eastAsia="等线"/>
      <w:sz w:val="18"/>
      <w:szCs w:val="18"/>
    </w:rPr>
  </w:style>
  <w:style w:type="paragraph" w:styleId="5">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中华人民共和国国务院</Company>
  <Pages>6</Pages>
  <Words>2749</Words>
  <Characters>2759</Characters>
  <Lines>0</Lines>
  <Paragraphs>0</Paragraphs>
  <TotalTime>4</TotalTime>
  <ScaleCrop>false</ScaleCrop>
  <LinksUpToDate>false</LinksUpToDate>
  <CharactersWithSpaces>2760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2024-08-26T01:11:00Z</dcterms:created>
  <dc:creator>张三</dc:creator>
  <cp:lastModifiedBy>张三</cp:lastModifiedBy>
  <dcterms:modified xsi:type="dcterms:W3CDTF">2024-09-02T02:40:38Z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775BEA8EDD4E4FC0AFFD1401D7C0FA3A_11</vt:lpwstr>
  </property>
</Properties>
</file>