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8CE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22"/>
          <w:lang w:val="en-US" w:eastAsia="zh-CN"/>
        </w:rPr>
        <w:t>附件2</w:t>
      </w:r>
    </w:p>
    <w:p w14:paraId="66A03A1A">
      <w:pPr>
        <w:spacing w:line="600" w:lineRule="exact"/>
        <w:rPr>
          <w:rFonts w:hint="eastAsia" w:ascii="黑体" w:hAnsi="黑体" w:eastAsia="黑体" w:cs="黑体"/>
          <w:b/>
          <w:bCs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FF77C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陕西应急管理厅</w:t>
      </w:r>
    </w:p>
    <w:p w14:paraId="4BFBD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省级专项资金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年度绩效自评报告</w:t>
      </w:r>
    </w:p>
    <w:p w14:paraId="280422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黑体" w:hAnsi="黑体" w:eastAsia="黑体" w:cs="黑体"/>
        </w:rPr>
      </w:pPr>
    </w:p>
    <w:p w14:paraId="29DEB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一、绩效目标分解下达情况</w:t>
      </w:r>
    </w:p>
    <w:p w14:paraId="21E9E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2023年省级应急管理专项资金39,000万元，全年下达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资金3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7,245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.3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中：省应急管理厅机关及所属单位10,434.10万元、陕西省重型机械（中国水利水电三局）应急救援队60万、陕西省煤矿（陕煤）应急救援队60万、陕西省突发地质灾害（陕西地矿）应急排查队160万、陕西省矿山垂直钻井（陕煤地质）应急救援队160万、陕西省测绘应急救援队40万、陕西省航空（秦汉通航）应急救援队50万、陕西省森林火灾（省森管局）应急救援队30万、陕西省危险化学品（延长石油）应急救援队20万、陕西省非煤矿山（商洛）应急救援队20万、陕西省工程机械(陕建)应急救援队20万、陕西省核与辐射（中陕核）应急救援队120万、陕西省森林火灾（延安）应急救援队10万、省地震局665.10万元、省测绘地理信息局250万元、陕西省地质科技中心195万元、西安市6,201.47万元、渭南市3,689.58万元、宝鸡市2,327.94万元、咸阳市1,830.10万元、铜川市950.43万元、延安市1,956.9万元、榆林市2,015.16万元、汉中市2,010.33万元、安康市2,014.06万元、商洛市1,617.13万元、杨凌示范区189万元、韩城市149万元。</w:t>
      </w:r>
    </w:p>
    <w:p w14:paraId="2071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、绩效情况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分析</w:t>
      </w:r>
    </w:p>
    <w:p w14:paraId="33661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（一）资金投入情况分析</w:t>
      </w:r>
    </w:p>
    <w:p w14:paraId="3B690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2023年省级应急管理专项资金39,000万元，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省应急厅会同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省财政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厅分别下达各实施单位及市县省级应急管理专项资金3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7,245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.3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，资金下达率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95.50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全年执行数31,172.33万元，预算执行率83.69%。</w:t>
      </w:r>
    </w:p>
    <w:p w14:paraId="446DC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（二）资金管理情况分析</w:t>
      </w:r>
    </w:p>
    <w:p w14:paraId="45D6A02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32"/>
          <w:szCs w:val="32"/>
          <w:lang w:val="en-US" w:eastAsia="zh-CN"/>
        </w:rPr>
        <w:t>牢固树立“过紧日子”思想，做好专项资金的统筹使用，合理分配资金，把有限的资金用到刀刃上，推动年度各项重点工作落实，为全省应急管理事业高质量发展提供资金保障。</w:t>
      </w:r>
      <w:r>
        <w:rPr>
          <w:rFonts w:hint="eastAsia" w:ascii="仿宋" w:hAnsi="仿宋" w:cs="仿宋"/>
          <w:i w:val="0"/>
          <w:iCs w:val="0"/>
          <w:color w:val="auto"/>
          <w:spacing w:val="0"/>
          <w:sz w:val="32"/>
          <w:szCs w:val="32"/>
          <w:lang w:val="en-US" w:eastAsia="zh-CN"/>
        </w:rPr>
        <w:t>专项资金的分配、下达、拨付、使用均按照“三重一大”原则，报厅党委会研究审定。坚持</w:t>
      </w: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32"/>
          <w:szCs w:val="32"/>
          <w:lang w:val="en-US" w:eastAsia="zh-CN"/>
        </w:rPr>
        <w:t>“花钱必问效、无效必问责”的原则，强化专项资金全过程监督管理和绩</w:t>
      </w:r>
      <w:r>
        <w:rPr>
          <w:rFonts w:hint="eastAsia" w:ascii="仿宋" w:hAnsi="仿宋" w:eastAsia="仿宋" w:cs="仿宋"/>
          <w:i w:val="0"/>
          <w:iCs w:val="0"/>
          <w:spacing w:val="0"/>
          <w:sz w:val="32"/>
          <w:szCs w:val="32"/>
          <w:lang w:val="en-US" w:eastAsia="zh-CN"/>
        </w:rPr>
        <w:t>效管理，严格执行“事前评审、事中监控、事后评价”闭环管理</w:t>
      </w:r>
      <w:r>
        <w:rPr>
          <w:rFonts w:hint="eastAsia" w:ascii="仿宋" w:hAnsi="仿宋" w:cs="仿宋"/>
          <w:i w:val="0"/>
          <w:iCs w:val="0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spacing w:val="0"/>
          <w:sz w:val="32"/>
          <w:szCs w:val="32"/>
          <w:lang w:val="en-US" w:eastAsia="zh-CN"/>
        </w:rPr>
        <w:t>严把日常监督管理的审批关、审核关。对专项资金的预算执行情况，要采取定期通报、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重点</w:t>
      </w:r>
      <w:r>
        <w:rPr>
          <w:rFonts w:hint="eastAsia" w:ascii="仿宋" w:hAnsi="仿宋" w:eastAsia="仿宋" w:cs="仿宋"/>
          <w:i w:val="0"/>
          <w:iCs w:val="0"/>
          <w:spacing w:val="0"/>
          <w:sz w:val="32"/>
          <w:szCs w:val="32"/>
          <w:lang w:val="en-US" w:eastAsia="zh-CN"/>
        </w:rPr>
        <w:t>约谈、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专项检查等方式</w:t>
      </w:r>
      <w:r>
        <w:rPr>
          <w:rFonts w:hint="eastAsia" w:ascii="仿宋" w:hAnsi="仿宋" w:eastAsia="仿宋" w:cs="仿宋"/>
          <w:i w:val="0"/>
          <w:iCs w:val="0"/>
          <w:spacing w:val="0"/>
          <w:sz w:val="32"/>
          <w:szCs w:val="32"/>
          <w:lang w:val="en-US" w:eastAsia="zh-CN"/>
        </w:rPr>
        <w:t>督促加快资金支付进度，防止出现有钱不花或年底突击花钱的现象，扎实推进应急管理、安全生产、</w:t>
      </w:r>
      <w:r>
        <w:rPr>
          <w:rFonts w:hint="eastAsia" w:ascii="仿宋" w:hAnsi="仿宋" w:cs="仿宋"/>
          <w:i w:val="0"/>
          <w:iCs w:val="0"/>
          <w:spacing w:val="0"/>
          <w:sz w:val="32"/>
          <w:szCs w:val="32"/>
          <w:lang w:val="en-US" w:eastAsia="zh-CN"/>
        </w:rPr>
        <w:t>防灾减灾救灾</w:t>
      </w:r>
      <w:r>
        <w:rPr>
          <w:rFonts w:hint="eastAsia" w:ascii="仿宋" w:hAnsi="仿宋" w:eastAsia="仿宋" w:cs="仿宋"/>
          <w:i w:val="0"/>
          <w:iCs w:val="0"/>
          <w:spacing w:val="0"/>
          <w:sz w:val="32"/>
          <w:szCs w:val="32"/>
          <w:lang w:val="en-US" w:eastAsia="zh-CN"/>
        </w:rPr>
        <w:t>各项工作落实。</w:t>
      </w:r>
    </w:p>
    <w:p w14:paraId="7A670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（三）总体绩效目标完成情况分析</w:t>
      </w:r>
    </w:p>
    <w:p w14:paraId="7AF82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，省应急管理厅将应急管理专项资金分为3类59项下达各单位和地市，完成防汛抗旱、防灾救灾补助、安全生产监督、消防救援机动队伍组建、信息化系统运维等任务。建立“周调度、月研判、季盘点、年总结”工作机制，实行煤矿、非煤矿山、危化品等领域定期点评，坚持重大活动、重要节点每日调度。全省生产安全事故起数和死亡人数同比分别下降11.4%、6.9%，有力维护了社会安定、人民安宁。中亚峰会期间实现“零事故”“零火情”，被省委、省政府通报表扬。</w:t>
      </w:r>
    </w:p>
    <w:p w14:paraId="3E626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（四）绩效指标完成情况分析</w:t>
      </w:r>
    </w:p>
    <w:p w14:paraId="1D2D1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1.产出指标完成情况分析</w:t>
      </w:r>
    </w:p>
    <w:p w14:paraId="3ABE8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（1）数量指标</w:t>
      </w:r>
    </w:p>
    <w:p w14:paraId="0ABA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省四个煤矿瓦斯治理督导组全年共下矿检查925矿/次，下井2286人/次，累计查出问题隐患8213个，下发隐患整改通知单654份，督促整改完成问题隐患8204条,整改率达99%以上，重大隐患整改率100%；全年累计完成瓦斯抽采量33487.56万立方米,合理利用瓦斯5430万立方米，超额完成了任务；督导的30处煤矿未发生重特大瓦斯事故，煤矿瓦斯超限次数明显减少，确保了所督导煤矿安全生产形势持续稳定。按照应急管理部《关于下达2023年森林草原航空消防布局计划的通知》要求，结合我省航空应急救援工作实际，全年租用应急救援直升机10架。保障了11个无人看守铁路道口班房监护人员的工资福利待遇，完善了部分铁路道口设施设备，加强人员培训，做好了道口安全宣传，确保铁路安全运行。累计培训干部7499人次，举办培训31期次，培训时间100.50天，邀请授课老师138人次（其中组织面授培训班23期4366人次、视频培训3期2448人次、网络培训1期265人次，思想政治类培训4期420人）。组织社会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急力量救援队培训4次410余人、基层干部应急能力培训5个班次455余人。救助过渡期生活救助人员330人，重建因灾倒塌、严重损坏住房94户，修缮一般损坏住房163户，修复水毁道路3122米，动用机械开展地质灾害应急处置（机械清理）600台/次，地质灾害排危除险12处，道路抢险抢通应急处置21处，洪涝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害应急处置32处。省市县三级应急管理部门执法检查企业20067家次，立案2062起，累计罚款1.11亿元，约谈问责通报企业596家，约谈问责通报企业负责人633名。保障各类视频会议共计785起，卫星应急通信平台演练2381次；全系统日巡检次数304次，视频会议系统巡检608次，电话系统巡检2432次；月巡检12次，确保了厅信息化系统及视频会议持续、平稳运行。省市两级纳入“安全生产严重失信主体名单”企业14家，省本级建议追究刑事责任22人、给予党政纪处分59人、行政处罚31人；实地检查企业2万余家，排查发现重大事故隐患7890项、整改率98.4%；省市县三级挂牌督办3198项、整改率97.40%；累计作出行政处罚7138次、罚款4.59亿元；曝光、约谈、联合惩戒企业7530家，实施“一案双罚”121次；一体化推进危化品领域8个专项整治和5项重点工作，强化油气储存、开采和长输管线安全风险治理；完成21家化工园区安全风险自评、48家精细化工企业“四个清零”，处置渭南蒲城北洛河堰塞湖等4起突发地质灾害，全面实施自然灾害防治体系和能力现代化10项重点工程，有序推进全省应急避难场所建设，转移安置受灾群众12.69万人次；国家消防救援局陕西机动队伍正式进驻陕西，全省各级专业救援队伍达到1084支6万余人，社会应急救援队伍达到201支1.10万余人。</w:t>
      </w:r>
    </w:p>
    <w:p w14:paraId="49004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（2）质量指标</w:t>
      </w:r>
    </w:p>
    <w:p w14:paraId="19BC7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2023年度未发生较大以上森林火灾，森林火灾受害率小于0.0002‰；未发生草原火灾，无人员伤亡。积极推进综合减灾示范社区和示范县创建，西安市灞桥区通过国家级示范县创建试点现场验收评估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。成功处置西安高新区比亚迪“6·1”火灾，未造成人员伤亡。全省煤矿百万吨死亡率0.036，低于全国平均水平。</w:t>
      </w:r>
    </w:p>
    <w:p w14:paraId="59871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（3）时效指标</w:t>
      </w:r>
    </w:p>
    <w:p w14:paraId="396A8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应急处置事项实际接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到处置指令后响应时间小于2小时。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省级应急管理资金各市30天内资金下达率为100%。</w:t>
      </w:r>
    </w:p>
    <w:p w14:paraId="30E0E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（4）成本指标</w:t>
      </w:r>
    </w:p>
    <w:p w14:paraId="38866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急管理专项资金使用按照项目资金用途专款专用，根据项目完成进度及时支付资金。其中重点受灾地区受灾群众生活救助补助标准为：转移安置受灾群众应急救助资金发放标准为300元/人，因灾死亡（失踪）人员家属抚慰资金10000元/人，重建房屋补助资金20000元/户，修缮房屋补助资金2000元/户，过渡期生活救助标准1800元/人，项目实施县区能够严格按照相关资金标准要求，履行公示发放程序，未出现违规现象。</w:t>
      </w:r>
    </w:p>
    <w:p w14:paraId="40D3B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2.效益指标完成情况分析</w:t>
      </w:r>
    </w:p>
    <w:p w14:paraId="1876B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（1）经济效益指标</w:t>
      </w:r>
    </w:p>
    <w:p w14:paraId="49A3D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重特大事故得到有效遏制，全省安全生产持续稳定好转。</w:t>
      </w:r>
    </w:p>
    <w:p w14:paraId="7D1A9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（2）社会效益指标</w:t>
      </w:r>
    </w:p>
    <w:p w14:paraId="13762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2023年，全省煤矿安全生产形势总体保持平稳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，全年煤矿共发生事故16起，死亡27人，煤矿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事故起数和死亡人数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低于全国平均水平。企业安全生产水平进一步提高，全社会安全意识不断提升。全年森林草原火灾起数、过火面积、受害面积三下降，创有统计记录以来最好成绩，有效保护了森林资源及人民群众安全，减少了经济损失，维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林区安全和社会和谐稳定。</w:t>
      </w:r>
    </w:p>
    <w:p w14:paraId="202CC4D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bCs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生态效益指标</w:t>
      </w:r>
    </w:p>
    <w:p w14:paraId="0B216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扎实开展露天矿山、隐蔽致灾因素普查治理等专项整治，完成147处C类煤矿攻坚提升、56座尾矿库闭库销号、803家非煤矿山企业安全风险等级评定。降低火灾对森林、草原的破坏，保护森林草原资源。</w:t>
      </w:r>
    </w:p>
    <w:p w14:paraId="10876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（4）可持续影响指标</w:t>
      </w:r>
    </w:p>
    <w:p w14:paraId="17C57FB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ascii="仿宋" w:hAnsi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开展“安全生产月”“消防宣传月”“防灾减灾宣传周”等主题宣教活动，推进安全宣传“五进”活动，群防群治水平不断提升。举办“应急管理大讲堂”，组织开展市厅级领导干部和市县党政正职应急管理专题培训、基层应急管理体系和能力建设专题培训，培训各级应急管理干部6万余人次，加强干部队伍能力素质。</w:t>
      </w:r>
      <w:r>
        <w:rPr>
          <w:rFonts w:hint="eastAsia" w:ascii="仿宋" w:hAnsi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开展五期全省基层应急管理体系和能力建设培训班，共培训</w:t>
      </w:r>
      <w:r>
        <w:rPr>
          <w:rFonts w:ascii="仿宋" w:hAnsi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865</w:t>
      </w:r>
      <w:r>
        <w:rPr>
          <w:rFonts w:hint="eastAsia" w:ascii="仿宋" w:hAnsi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人次，基层应急管理能力和自然灾害防治能力显著提升。</w:t>
      </w:r>
    </w:p>
    <w:p w14:paraId="7D8CC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3.满意度指标情况分析</w:t>
      </w:r>
    </w:p>
    <w:p w14:paraId="480959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无重大负面舆情和事件，受灾群众无投诉事件发生，受灾群众较为满意。</w:t>
      </w:r>
    </w:p>
    <w:p w14:paraId="5B957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三、偏离绩效目标的原因和下一步改进措施</w:t>
      </w:r>
    </w:p>
    <w:p w14:paraId="4A116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（一）资金执行率低</w:t>
      </w:r>
    </w:p>
    <w:p w14:paraId="328BB057">
      <w:pPr>
        <w:pStyle w:val="5"/>
        <w:spacing w:after="0" w:line="240" w:lineRule="auto"/>
        <w:ind w:firstLine="643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陕西省基层安全生产监管能力补短板项目442.50万元，未支出。主要原因是该项目计划分2年实施，2023年12月底前完成项目公开招标，目前已办理资金结转，计划2024年4月底前完成支付。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森林航空消防飞机租用项目1156万元，实际支出74万元，预算执行率仅为6.40%。主要原因是：受资金下达较晚和跨年度结转影响，未及时支付相关经费，今年根据资金结转情况及时完成相关支付工作。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消防救援机动队伍组建保障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1500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，实际支出1010万元。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主要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原因是：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财政资金下达较晚，时间紧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，年底前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无法完成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政府采购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招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标任务，未及时支付；该资金已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结转至2024年，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目前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已完成前期招采工作，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正在办理资金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支付。</w:t>
      </w:r>
    </w:p>
    <w:p w14:paraId="5BE6F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（二）航空护林飞行时长偏低</w:t>
      </w:r>
    </w:p>
    <w:p w14:paraId="542EC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受空域批复晚、天气和全国“两会”、中亚峰会等重大活动管制，加之西安市蓝田县“2·17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和灞桥区白鹿原“5·2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型直升机坠毁影响，我省在年度计划飞行繁忙时段，连续停飞时间较长，导致2023年实际飞行时长总体偏低。下一步我们将深刻汲取事故教训，认真分析我省灾害事故规律特点，结合历年飞行数据统计情况，科学制定项目总体飞行时长。</w:t>
      </w:r>
    </w:p>
    <w:p w14:paraId="445534D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四、绩效自评结果拟应用和公开情况</w:t>
      </w:r>
    </w:p>
    <w:p w14:paraId="21FE9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加强项目管理、资金使用监管等各方面工作，达到预期的使用绩效，项目预期目标完成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100%。项目完成后对绩效自评结果将接受上级监督检查。</w:t>
      </w:r>
    </w:p>
    <w:p w14:paraId="761E76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MTJjODljNjI5MTEwMTAwZjZjMWExNWQwZWE2Y2MifQ=="/>
  </w:docVars>
  <w:rsids>
    <w:rsidRoot w:val="611954C8"/>
    <w:rsid w:val="6119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3"/>
    <w:qFormat/>
    <w:uiPriority w:val="0"/>
    <w:pPr>
      <w:widowControl w:val="0"/>
      <w:spacing w:line="480" w:lineRule="exact"/>
      <w:ind w:firstLine="480" w:firstLineChars="200"/>
    </w:pPr>
    <w:rPr>
      <w:rFonts w:ascii="宋体" w:hAnsi="宋体" w:eastAsia="宋体" w:cs="宋体"/>
      <w:sz w:val="24"/>
      <w:szCs w:val="30"/>
      <w:lang w:val="en-US" w:eastAsia="zh-CN" w:bidi="ar-SA"/>
    </w:rPr>
  </w:style>
  <w:style w:type="paragraph" w:customStyle="1" w:styleId="3">
    <w:name w:val="样式 样式 正文缩进正文（首行缩进两字）正文2 + 首行缩进:  2 字符 + 首行缩进:  2 字符"/>
    <w:qFormat/>
    <w:uiPriority w:val="0"/>
    <w:pPr>
      <w:widowControl w:val="0"/>
      <w:snapToGrid w:val="0"/>
      <w:spacing w:line="324" w:lineRule="auto"/>
      <w:ind w:firstLine="600"/>
      <w:jc w:val="both"/>
    </w:pPr>
    <w:rPr>
      <w:rFonts w:ascii="Times New Roman" w:hAnsi="宋体" w:eastAsia="宋体" w:cs="宋体"/>
      <w:kern w:val="2"/>
      <w:sz w:val="28"/>
      <w:szCs w:val="20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tabs>
        <w:tab w:val="left" w:pos="4117"/>
      </w:tabs>
      <w:overflowPunct w:val="0"/>
      <w:autoSpaceDE w:val="0"/>
      <w:autoSpaceDN w:val="0"/>
      <w:adjustRightInd w:val="0"/>
      <w:spacing w:line="500" w:lineRule="exact"/>
      <w:ind w:firstLine="200" w:firstLineChars="200"/>
    </w:pPr>
    <w:rPr>
      <w:rFonts w:ascii="宋体" w:hAnsi="宋体"/>
      <w:spacing w:val="-20"/>
      <w:kern w:val="0"/>
      <w:sz w:val="24"/>
      <w:szCs w:val="32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customStyle="1" w:styleId="7">
    <w:name w:val="UserStyle_0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Calibri" w:hAnsi="Calibri" w:eastAsia="宋体" w:cs="Times New Roman"/>
      <w:i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2024-10-08T03:03:00Z</dcterms:created>
  <dc:creator>admin</dc:creator>
  <cp:lastModifiedBy>admin</cp:lastModifiedBy>
  <dcterms:modified xsi:type="dcterms:W3CDTF">2024-10-08T03:04:43Z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81D2FD80DA90458D87351A45B80D6402_11</vt:lpwstr>
  </property>
</Properties>
</file>